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 Black" w:hAnsi="Arial Black"/>
          <w:i/>
          <w:i/>
        </w:rPr>
      </w:pPr>
      <w:r>
        <w:rPr>
          <w:rFonts w:ascii="Arial Black" w:hAnsi="Arial Black"/>
          <w:i/>
          <w:sz w:val="24"/>
          <w:szCs w:val="24"/>
        </w:rPr>
        <w:t>Министерство науки и высшего образования Российской Федерации</w:t>
      </w:r>
    </w:p>
    <w:p>
      <w:pPr>
        <w:pStyle w:val="Normal"/>
        <w:spacing w:lineRule="auto" w:line="240" w:before="0" w:after="0"/>
        <w:jc w:val="center"/>
        <w:rPr>
          <w:rFonts w:ascii="Arial Black" w:hAnsi="Arial Black"/>
          <w:i/>
          <w:i/>
          <w:sz w:val="24"/>
          <w:szCs w:val="24"/>
        </w:rPr>
      </w:pPr>
      <w:r>
        <w:rPr>
          <w:rFonts w:ascii="Arial Black" w:hAnsi="Arial Black"/>
          <w:i/>
          <w:sz w:val="24"/>
          <w:szCs w:val="24"/>
        </w:rPr>
        <w:t>Бурятский государственный университет</w:t>
      </w:r>
    </w:p>
    <w:p>
      <w:pPr>
        <w:pStyle w:val="Normal"/>
        <w:spacing w:lineRule="auto" w:line="240" w:before="0" w:after="0"/>
        <w:jc w:val="center"/>
        <w:rPr>
          <w:rFonts w:ascii="Arial Black" w:hAnsi="Arial Black"/>
          <w:i/>
          <w:i/>
          <w:sz w:val="24"/>
          <w:szCs w:val="24"/>
        </w:rPr>
      </w:pPr>
      <w:r>
        <w:rPr>
          <w:rFonts w:ascii="Arial Black" w:hAnsi="Arial Black"/>
          <w:i/>
          <w:sz w:val="24"/>
          <w:szCs w:val="24"/>
        </w:rPr>
        <w:t xml:space="preserve"> </w:t>
      </w:r>
      <w:r>
        <w:rPr>
          <w:rFonts w:ascii="Arial Black" w:hAnsi="Arial Black"/>
          <w:i/>
          <w:sz w:val="24"/>
          <w:szCs w:val="24"/>
        </w:rPr>
        <w:t>имени Доржи Банзарова</w:t>
      </w:r>
    </w:p>
    <w:p>
      <w:pPr>
        <w:pStyle w:val="Normal"/>
        <w:spacing w:lineRule="auto" w:line="240" w:before="0" w:after="0"/>
        <w:jc w:val="center"/>
        <w:rPr>
          <w:rFonts w:ascii="Arial Black" w:hAnsi="Arial Black"/>
          <w:i/>
          <w:i/>
          <w:sz w:val="20"/>
          <w:szCs w:val="20"/>
        </w:rPr>
      </w:pPr>
      <w:r>
        <w:rPr>
          <w:rFonts w:ascii="Arial Black" w:hAnsi="Arial Black"/>
          <w:i/>
          <w:sz w:val="20"/>
          <w:szCs w:val="20"/>
        </w:rPr>
        <w:t xml:space="preserve">КАФЕДРА ФИЛОСОФИИ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1"/>
        <w:spacing w:lineRule="auto" w:line="240" w:before="0" w:after="0"/>
        <w:jc w:val="center"/>
        <w:rPr/>
      </w:pPr>
      <w:r>
        <w:rPr/>
        <w:t>Проводят Всероссийскую научную конференцию,</w:t>
      </w:r>
    </w:p>
    <w:p>
      <w:pPr>
        <w:pStyle w:val="21"/>
        <w:spacing w:lineRule="auto" w:line="240" w:before="0" w:after="0"/>
        <w:jc w:val="center"/>
        <w:rPr/>
      </w:pPr>
      <w:r>
        <w:rPr/>
        <w:t xml:space="preserve"> </w:t>
      </w:r>
      <w:r>
        <w:rPr/>
        <w:t xml:space="preserve">посвященную 90-летию кафедры философии </w:t>
      </w:r>
    </w:p>
    <w:p>
      <w:pPr>
        <w:pStyle w:val="21"/>
        <w:spacing w:lineRule="auto" w:line="240" w:before="0" w:after="0"/>
        <w:jc w:val="center"/>
        <w:rPr/>
      </w:pPr>
      <w:r>
        <w:rPr/>
        <w:t>Бурятского государственного университета имени Доржи Банзарова</w:t>
      </w:r>
    </w:p>
    <w:p>
      <w:pPr>
        <w:pStyle w:val="21"/>
        <w:spacing w:lineRule="auto" w:line="240" w:before="0" w:after="0"/>
        <w:jc w:val="center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«Человек и общество в поиске новых смыслов»</w:t>
      </w:r>
    </w:p>
    <w:p>
      <w:pPr>
        <w:pStyle w:val="21"/>
        <w:spacing w:lineRule="auto" w:line="240" w:before="0" w:after="0"/>
        <w:jc w:val="center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21"/>
        <w:spacing w:lineRule="auto" w:line="240" w:before="0" w:after="0"/>
        <w:jc w:val="both"/>
        <w:rPr/>
      </w:pPr>
      <w:r>
        <w:rPr/>
      </w:r>
    </w:p>
    <w:p>
      <w:pPr>
        <w:pStyle w:val="21"/>
        <w:spacing w:lineRule="auto" w:line="240" w:before="0" w:after="0"/>
        <w:jc w:val="both"/>
        <w:rPr/>
      </w:pPr>
      <w:r>
        <w:rPr/>
      </w:r>
    </w:p>
    <w:p>
      <w:pPr>
        <w:pStyle w:val="21"/>
        <w:spacing w:lineRule="auto" w:line="240" w:before="0" w:after="0"/>
        <w:jc w:val="both"/>
        <w:rPr/>
      </w:pPr>
      <w:r>
        <w:rPr/>
        <w:t>Как изменился  человек в реалиях нового мира, каковы условия его существования. Современные социальные проблемы, пути их решения. Социальные практики и  социальная повседневность  сегодня. Общество: анализ и прогноз. Место человека в стремительно меняющемся мире, деформация его мировоззренческих и духовных ориентиров. Проблема глобальных угроз человечеству. Цифровизация общества, проблема искусственного разума. Как реагирует  современное образование  на вызовы времени. Высшая школа  в условиях цифровизации.  Азиатско-Тихоокеанский регион, особенности его изучения. Страны АТР в изменяющемся мире. Трансформация  институтов традиционного общества, культуры, религии. Многоликость современного мира.</w:t>
      </w:r>
    </w:p>
    <w:p>
      <w:pPr>
        <w:pStyle w:val="21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21"/>
        <w:spacing w:lineRule="auto" w:line="240" w:before="0" w:after="0"/>
        <w:jc w:val="center"/>
        <w:rPr/>
      </w:pPr>
      <w:r>
        <w:rPr/>
        <w:t>Приглашаем  философов, социологов, культурологов, политологов, антропологов, педагогов, начинающих исследователей к обсуждению указанных вопросов</w:t>
      </w:r>
    </w:p>
    <w:p>
      <w:pPr>
        <w:pStyle w:val="21"/>
        <w:spacing w:lineRule="auto" w:line="240" w:before="0" w:after="0"/>
        <w:jc w:val="center"/>
        <w:rPr/>
      </w:pPr>
      <w:r>
        <w:rPr/>
      </w:r>
    </w:p>
    <w:p>
      <w:pPr>
        <w:pStyle w:val="21"/>
        <w:spacing w:lineRule="auto" w:line="240" w:before="0" w:after="0"/>
        <w:jc w:val="center"/>
        <w:rPr/>
      </w:pPr>
      <w:r>
        <w:rPr/>
      </w:r>
    </w:p>
    <w:p>
      <w:pPr>
        <w:pStyle w:val="21"/>
        <w:spacing w:lineRule="auto" w:line="240" w:before="0" w:after="0"/>
        <w:jc w:val="center"/>
        <w:rPr/>
      </w:pPr>
      <w:r>
        <w:rPr/>
      </w:r>
    </w:p>
    <w:p>
      <w:pPr>
        <w:pStyle w:val="21"/>
        <w:spacing w:lineRule="auto" w:line="240" w:before="0" w:after="0"/>
        <w:jc w:val="center"/>
        <w:rPr>
          <w:color w:val="FF0000"/>
        </w:rPr>
      </w:pPr>
      <w:r>
        <w:rPr>
          <w:color w:val="FF0000"/>
        </w:rPr>
      </w:r>
    </w:p>
    <w:p>
      <w:pPr>
        <w:pStyle w:val="21"/>
        <w:spacing w:lineRule="auto" w:line="240" w:before="0" w:after="0"/>
        <w:jc w:val="both"/>
        <w:rPr>
          <w:color w:val="FF0000"/>
        </w:rPr>
      </w:pPr>
      <w:r>
        <w:rPr>
          <w:color w:val="FF0000"/>
        </w:rPr>
        <w:t>Сроки проведения: 24 июня 2022 г.</w:t>
      </w:r>
    </w:p>
    <w:p>
      <w:pPr>
        <w:pStyle w:val="21"/>
        <w:spacing w:lineRule="auto" w:line="240" w:before="0" w:after="0"/>
        <w:jc w:val="both"/>
        <w:rPr/>
      </w:pPr>
      <w:r>
        <w:rPr/>
        <w:t>Место проведения: Россия, г.Улан-Удэ, Бурятский государственный университет имени Доржи Банзарова, ул.Смолина 24 а.</w:t>
      </w:r>
    </w:p>
    <w:p>
      <w:pPr>
        <w:pStyle w:val="21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Style18"/>
        <w:spacing w:before="0" w:after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конференции предполагается обсуждение следующих проблем:</w:t>
      </w:r>
    </w:p>
    <w:p>
      <w:pPr>
        <w:pStyle w:val="Style18"/>
        <w:numPr>
          <w:ilvl w:val="0"/>
          <w:numId w:val="6"/>
        </w:numPr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Кафедра философии  БГУ:  история и современность, люди и события</w:t>
      </w:r>
    </w:p>
    <w:p>
      <w:pPr>
        <w:pStyle w:val="Style18"/>
        <w:numPr>
          <w:ilvl w:val="0"/>
          <w:numId w:val="6"/>
        </w:numPr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Современный социум: риски,  вызовы и возможности, перспективы</w:t>
      </w:r>
    </w:p>
    <w:p>
      <w:pPr>
        <w:pStyle w:val="Style18"/>
        <w:numPr>
          <w:ilvl w:val="0"/>
          <w:numId w:val="6"/>
        </w:numPr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Тренды и тенденции  в современном высшем образовании</w:t>
      </w:r>
    </w:p>
    <w:p>
      <w:pPr>
        <w:pStyle w:val="Style18"/>
        <w:numPr>
          <w:ilvl w:val="0"/>
          <w:numId w:val="6"/>
        </w:numPr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Азиатско-Тихоокеанский регион - синтез традиций и новаций</w:t>
      </w:r>
    </w:p>
    <w:p>
      <w:pPr>
        <w:pStyle w:val="Style18"/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</w:rPr>
        <w:t>Просим предоставить заявку и текст доклада объемом 5-8  страниц  для участия в работе конференции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color w:val="C00000"/>
          <w:sz w:val="28"/>
          <w:szCs w:val="28"/>
        </w:rPr>
        <w:t>до 1</w:t>
      </w:r>
      <w:r>
        <w:rPr>
          <w:rFonts w:ascii="Times New Roman" w:hAnsi="Times New Roman"/>
          <w:b/>
          <w:color w:val="C00000"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июня 2022 года</w:t>
      </w:r>
      <w:r>
        <w:rPr>
          <w:rFonts w:ascii="Times New Roman" w:hAnsi="Times New Roman"/>
          <w:b/>
        </w:rPr>
        <w:t>. Статья должна содержать УДК, аннотацию на русском и английском языках не менее 100 слов, ключевые слова на русском и английском языках  (не менее 7 слов)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</w:rPr>
        <w:t>Публикация текстов докладов после проведения конференции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Сборник планируется разместить в системе РИНЦ.</w:t>
      </w:r>
    </w:p>
    <w:p>
      <w:pPr>
        <w:pStyle w:val="Normal"/>
        <w:spacing w:lineRule="auto" w:line="240" w:before="0" w:after="0"/>
        <w:jc w:val="both"/>
        <w:rPr>
          <w:i/>
          <w:i/>
        </w:rPr>
      </w:pPr>
      <w:r>
        <w:rPr>
          <w:rFonts w:ascii="Times New Roman" w:hAnsi="Times New Roman"/>
          <w:i/>
          <w:sz w:val="24"/>
          <w:szCs w:val="24"/>
        </w:rPr>
        <w:t>ВОЗМОЖНО УЧАСТИЕ В КОНФЕРЕНЦИИ БЕЗ ПУБЛИКАЦИИ МАТЕРИАЛОВ.</w:t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>Все расходы, связанные с приездом на конференцию  за счет направляющей организации.</w:t>
      </w:r>
    </w:p>
    <w:p>
      <w:pPr>
        <w:pStyle w:val="NormalWeb"/>
        <w:spacing w:before="0" w:after="120"/>
        <w:ind w:firstLine="567"/>
        <w:jc w:val="both"/>
        <w:rPr/>
      </w:pPr>
      <w:r>
        <w:rPr>
          <w:color w:val="7030A0"/>
        </w:rPr>
        <w:t>Обратите внимание на то, что оргкомитет оставляет за собой право отклонить материалы в случае несоответствия требованиям оформления или тематике конференции. Все статьи проходят проверку в системе «Антиплагиат. ВУЗ», оригинальность не менее 75%.</w:t>
      </w:r>
    </w:p>
    <w:p>
      <w:pPr>
        <w:pStyle w:val="NormalWeb"/>
        <w:spacing w:before="0" w:after="120"/>
        <w:ind w:firstLine="567"/>
        <w:jc w:val="both"/>
        <w:rPr>
          <w:color w:val="7030A0"/>
        </w:rPr>
      </w:pPr>
      <w:r>
        <w:rPr>
          <w:color w:val="7030A0"/>
        </w:rPr>
      </w:r>
    </w:p>
    <w:p>
      <w:pPr>
        <w:pStyle w:val="NormalWeb"/>
        <w:spacing w:before="0" w:after="120"/>
        <w:ind w:firstLine="567"/>
        <w:jc w:val="both"/>
        <w:rPr/>
      </w:pPr>
      <w:r>
        <w:rPr/>
      </w:r>
    </w:p>
    <w:p>
      <w:pPr>
        <w:pStyle w:val="NormalWeb"/>
        <w:spacing w:before="0" w:after="120"/>
        <w:ind w:firstLine="567"/>
        <w:jc w:val="both"/>
        <w:rPr/>
      </w:pPr>
      <w:r>
        <w:rPr/>
      </w:r>
    </w:p>
    <w:p>
      <w:pPr>
        <w:pStyle w:val="Normal"/>
        <w:spacing w:lineRule="auto" w:line="312"/>
        <w:ind w:firstLine="851"/>
        <w:jc w:val="right"/>
        <w:rPr/>
      </w:pPr>
      <w:r>
        <w:rPr>
          <w:b/>
        </w:rPr>
        <w:t>Приложение 1.</w:t>
      </w:r>
    </w:p>
    <w:p>
      <w:pPr>
        <w:pStyle w:val="NormalWeb"/>
        <w:spacing w:before="0" w:after="120"/>
        <w:ind w:firstLine="567"/>
        <w:jc w:val="both"/>
        <w:rPr>
          <w:b/>
          <w:b/>
        </w:rPr>
      </w:pPr>
      <w:r>
        <w:rPr>
          <w:b/>
        </w:rPr>
      </w:r>
    </w:p>
    <w:p>
      <w:pPr>
        <w:pStyle w:val="NormalWeb"/>
        <w:spacing w:before="0" w:after="120"/>
        <w:ind w:firstLine="567"/>
        <w:jc w:val="both"/>
        <w:rPr/>
      </w:pPr>
      <w:r>
        <w:rPr>
          <w:b/>
        </w:rPr>
        <w:t>ОБРАЗЕЦ ОФОРМЛЕНИЯ научной публикации:</w:t>
      </w:r>
    </w:p>
    <w:tbl>
      <w:tblPr>
        <w:tblW w:w="958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581"/>
      </w:tblGrid>
      <w:tr>
        <w:trPr/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right"/>
              <w:rPr/>
            </w:pPr>
            <w:r>
              <w:rPr>
                <w:rFonts w:ascii="Times New Roman" w:hAnsi="Times New Roman"/>
                <w:b/>
                <w:sz w:val="24"/>
              </w:rPr>
              <w:t xml:space="preserve">УДК    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Фамилия, Имя, Отчество, на русском языке</w:t>
            </w:r>
            <w:r>
              <w:rPr/>
              <w:t xml:space="preserve"> научная степень, научное звание, место работы,</w:t>
            </w:r>
          </w:p>
          <w:p>
            <w:pPr>
              <w:pStyle w:val="Normal"/>
              <w:spacing w:lineRule="auto" w:line="360" w:before="0" w:after="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Город, страна на русском языке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ascii="Times New Roman" w:hAnsi="Times New Roman"/>
                <w:b/>
                <w:sz w:val="24"/>
              </w:rPr>
              <w:t>Название статьи на русском языке (ПРОПИСНЫМИ БУКВАМИ)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&lt;пустая строка&gt;</w:t>
            </w:r>
          </w:p>
          <w:p>
            <w:pPr>
              <w:pStyle w:val="Normal"/>
              <w:spacing w:lineRule="auto" w:line="360"/>
              <w:ind w:firstLine="550"/>
              <w:rPr/>
            </w:pPr>
            <w:r>
              <w:rPr>
                <w:rFonts w:ascii="Times New Roman" w:hAnsi="Times New Roman"/>
                <w:sz w:val="24"/>
              </w:rPr>
              <w:t>Аннотация на русском языке. Аннотация (авторское резюме) должна заключать от 100 до 150 слов</w:t>
            </w:r>
          </w:p>
          <w:p>
            <w:pPr>
              <w:pStyle w:val="Normal"/>
              <w:spacing w:lineRule="auto" w:line="360"/>
              <w:ind w:firstLine="550"/>
              <w:rPr/>
            </w:pPr>
            <w:r>
              <w:rPr>
                <w:rFonts w:ascii="Times New Roman" w:hAnsi="Times New Roman"/>
                <w:b/>
                <w:sz w:val="24"/>
              </w:rPr>
              <w:t>Ключевые слова:</w:t>
            </w:r>
            <w:r>
              <w:rPr>
                <w:rFonts w:ascii="Times New Roman" w:hAnsi="Times New Roman"/>
                <w:sz w:val="24"/>
              </w:rPr>
              <w:t xml:space="preserve"> (на русском языке, не менее 7).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ascii="Times New Roman" w:hAnsi="Times New Roman"/>
                <w:b/>
                <w:sz w:val="24"/>
              </w:rPr>
              <w:t>Название статьи на английском языке (ПРОПИСНЫМИ БУКВАМИ)</w:t>
            </w:r>
          </w:p>
          <w:p>
            <w:pPr>
              <w:pStyle w:val="Normal"/>
              <w:spacing w:lineRule="auto" w:line="360" w:before="0" w:after="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Фамилия, Имя, Отчество, на английском языке</w:t>
            </w:r>
          </w:p>
          <w:p>
            <w:pPr>
              <w:pStyle w:val="Normal"/>
              <w:spacing w:lineRule="auto" w:line="360" w:before="0" w:after="0"/>
              <w:jc w:val="right"/>
              <w:rPr/>
            </w:pPr>
            <w:r>
              <w:rPr/>
              <w:t>научная степень, научное звание, место работы,</w:t>
            </w:r>
          </w:p>
          <w:p>
            <w:pPr>
              <w:pStyle w:val="Normal"/>
              <w:spacing w:lineRule="auto" w:line="360" w:before="0" w:after="0"/>
              <w:jc w:val="right"/>
              <w:rPr/>
            </w:pPr>
            <w:r>
              <w:rPr>
                <w:rFonts w:ascii="Times New Roman" w:hAnsi="Times New Roman"/>
                <w:sz w:val="24"/>
              </w:rPr>
              <w:t>Город, страна на английском языке</w:t>
            </w:r>
          </w:p>
          <w:p>
            <w:pPr>
              <w:pStyle w:val="Normal"/>
              <w:spacing w:lineRule="auto" w:line="360"/>
              <w:ind w:firstLine="550"/>
              <w:rPr/>
            </w:pPr>
            <w:r>
              <w:rPr>
                <w:rFonts w:ascii="Times New Roman" w:hAnsi="Times New Roman"/>
                <w:sz w:val="24"/>
              </w:rPr>
              <w:t>Аннотация на английском языке (перевод).Англоязычная аннотация должна представлять собой качественный перевод русскоязычной аннотации. Использование автоматического перевода различных интернет-сервисов недопустимо</w:t>
            </w:r>
          </w:p>
          <w:p>
            <w:pPr>
              <w:pStyle w:val="Normal"/>
              <w:spacing w:lineRule="auto" w:line="360"/>
              <w:ind w:firstLine="550"/>
              <w:rPr/>
            </w:pPr>
            <w:r>
              <w:rPr>
                <w:rFonts w:ascii="Times New Roman" w:hAnsi="Times New Roman"/>
                <w:b/>
                <w:sz w:val="24"/>
              </w:rPr>
              <w:t>Keywords:</w:t>
            </w:r>
            <w:r>
              <w:rPr>
                <w:rFonts w:ascii="Times New Roman" w:hAnsi="Times New Roman"/>
                <w:sz w:val="24"/>
              </w:rPr>
              <w:t xml:space="preserve"> (перевод ключевых слов на английский язык).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&lt;пустая строка&gt;</w:t>
            </w:r>
          </w:p>
          <w:p>
            <w:pPr>
              <w:pStyle w:val="Normal"/>
              <w:spacing w:lineRule="auto" w:line="360"/>
              <w:ind w:firstLine="550"/>
              <w:jc w:val="both"/>
              <w:rPr/>
            </w:pPr>
            <w:r>
              <w:rPr>
                <w:rFonts w:ascii="Times New Roman" w:hAnsi="Times New Roman"/>
                <w:sz w:val="24"/>
              </w:rPr>
              <w:t>Текст статьи. Текст статьи [1, с. 56]. Текст статьи. Текст статьи. Текст статьи. Текст статьи. Текст статьи. Текст статьи. Текст статьи. Текст статьи.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ascii="Times New Roman" w:hAnsi="Times New Roman"/>
                <w:sz w:val="24"/>
              </w:rPr>
              <w:t>&lt;пустая строка&gt;</w:t>
            </w:r>
          </w:p>
          <w:p>
            <w:pPr>
              <w:pStyle w:val="Normal"/>
              <w:spacing w:lineRule="auto" w:line="360"/>
              <w:ind w:firstLine="550"/>
              <w:jc w:val="center"/>
              <w:rPr/>
            </w:pPr>
            <w:r>
              <w:rPr>
                <w:rFonts w:ascii="Times New Roman" w:hAnsi="Times New Roman"/>
                <w:i/>
                <w:sz w:val="24"/>
              </w:rPr>
              <w:t>Литература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firstLine="720"/>
              <w:jc w:val="both"/>
              <w:rPr/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i/>
                <w:iCs/>
              </w:rPr>
              <w:t xml:space="preserve"> Ссылки на книги</w:t>
            </w:r>
            <w:r>
              <w:rPr/>
              <w:t xml:space="preserve"> оформляются следующим образом: автор, название, город, название издательства, год издания, количество страниц. </w:t>
            </w:r>
          </w:p>
          <w:p>
            <w:pPr>
              <w:pStyle w:val="Normal"/>
              <w:ind w:firstLine="720"/>
              <w:jc w:val="both"/>
              <w:rPr/>
            </w:pPr>
            <w:r>
              <w:rPr/>
              <w:t>(Ломагин Н. А. В тисках голода. Блокада Ленинграда в документах германских спецслужб и НКВД. СПб.: Европейский дом, 2000. 311 с.);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firstLine="720"/>
              <w:jc w:val="both"/>
              <w:rPr/>
            </w:pPr>
            <w:r>
              <w:rPr>
                <w:i/>
                <w:iCs/>
              </w:rPr>
              <w:t>Ссылки на журналы</w:t>
            </w:r>
            <w:r>
              <w:rPr/>
              <w:t xml:space="preserve">: автор, название статьи, название журнала, год, номер выпуска, страницы начала и окончания статьи. </w:t>
            </w:r>
          </w:p>
          <w:p>
            <w:pPr>
              <w:pStyle w:val="Normal"/>
              <w:ind w:firstLine="720"/>
              <w:jc w:val="both"/>
              <w:rPr/>
            </w:pPr>
            <w:r>
              <w:rPr/>
              <w:t>(Алексеев Т. В. Интеграция промышленности средств связи в отечественный военно-промышленный комплекс (1910–1940-е гг.) // Клио. 2011. № 8. С. 123–126.)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firstLine="720"/>
              <w:jc w:val="both"/>
              <w:rPr/>
            </w:pPr>
            <w:r>
              <w:rPr>
                <w:i/>
                <w:iCs/>
              </w:rPr>
              <w:t>Ссылка на электронные издания</w:t>
            </w:r>
            <w:r>
              <w:rPr/>
              <w:t xml:space="preserve">: автор, название статьи, название сайта, адрес URL. </w:t>
            </w:r>
          </w:p>
          <w:p>
            <w:pPr>
              <w:pStyle w:val="Normal"/>
              <w:ind w:firstLine="720"/>
              <w:jc w:val="both"/>
              <w:rPr/>
            </w:pPr>
            <w:r>
              <w:rPr/>
              <w:t xml:space="preserve">(Колесов Н. Д. Экономика ковала победу в Великой Отечественной войне // Проблемы современной экономики. 2005. № 1/2. [Электронный ресурс]. URL: </w:t>
            </w:r>
            <w:hyperlink r:id="rId2">
              <w:r>
                <w:rPr>
                  <w:rStyle w:val="Style14"/>
                </w:rPr>
                <w:t>http://www.m-economy.ru/art.php?nArtId=636</w:t>
              </w:r>
            </w:hyperlink>
            <w:r>
              <w:rPr/>
              <w:t xml:space="preserve"> (дата обращения: 10.07.2014);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firstLine="720"/>
              <w:jc w:val="both"/>
              <w:rPr/>
            </w:pPr>
            <w:r>
              <w:rPr>
                <w:i/>
                <w:iCs/>
              </w:rPr>
              <w:t>Официальные периодические издания</w:t>
            </w:r>
            <w:r>
              <w:rPr/>
              <w:t xml:space="preserve">: </w:t>
            </w:r>
          </w:p>
          <w:p>
            <w:pPr>
              <w:pStyle w:val="Normal"/>
              <w:ind w:firstLine="720"/>
              <w:jc w:val="both"/>
              <w:rPr/>
            </w:pPr>
            <w:r>
              <w:rPr/>
              <w:t>Электронный путеводитель / Рос. нац. б-ка, Центр правовой информации [СПб.], 2005–2007 [Электронный ресурс]. URL: http://www.nlr.ru/lawcenter/izd/index.html (дата обращения: 18.01.2007).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0" w:firstLine="720"/>
              <w:jc w:val="both"/>
              <w:rPr/>
            </w:pPr>
            <w:r>
              <w:rPr>
                <w:i/>
                <w:iCs/>
              </w:rPr>
              <w:t>Ссылки на архивы</w:t>
            </w:r>
            <w:r>
              <w:rPr/>
              <w:t xml:space="preserve"> [8, л. 135]:</w:t>
            </w:r>
          </w:p>
          <w:p>
            <w:pPr>
              <w:pStyle w:val="Normal"/>
              <w:ind w:firstLine="720"/>
              <w:jc w:val="both"/>
              <w:rPr/>
            </w:pPr>
            <w:r>
              <w:rPr/>
              <w:t xml:space="preserve">Российский государственный исторический архив Дальнего Востока (РГИА ДВ). Ф. Р 2422. Оп. 1. Д. 23. </w:t>
            </w:r>
          </w:p>
          <w:p>
            <w:pPr>
              <w:pStyle w:val="Normal"/>
              <w:spacing w:lineRule="auto" w:line="360" w:before="0" w:after="200"/>
              <w:ind w:firstLine="550"/>
              <w:jc w:val="both"/>
              <w:rPr/>
            </w:pPr>
            <w:r>
              <w:rPr>
                <w:rFonts w:ascii="Times New Roman" w:hAnsi="Times New Roman"/>
                <w:sz w:val="24"/>
              </w:rPr>
              <w:t xml:space="preserve">Список литературы – все работы необходимо пронумеровать, в тексте ссылки на литературу оформлять в квадратных скобках. </w:t>
            </w:r>
          </w:p>
        </w:tc>
      </w:tr>
    </w:tbl>
    <w:p>
      <w:pPr>
        <w:pStyle w:val="Normal"/>
        <w:ind w:firstLine="360"/>
        <w:jc w:val="both"/>
        <w:rPr/>
      </w:pPr>
      <w:r>
        <w:rPr>
          <w:rFonts w:ascii="Times New Roman" w:hAnsi="Times New Roman"/>
          <w:sz w:val="24"/>
          <w:szCs w:val="24"/>
        </w:rPr>
        <w:t xml:space="preserve">Документ должен быть выполнен в формате MS Word; Шрифт </w:t>
      </w:r>
      <w:r>
        <w:rPr>
          <w:rFonts w:ascii="Times New Roman" w:hAnsi="Times New Roman"/>
          <w:sz w:val="24"/>
          <w:szCs w:val="24"/>
          <w:lang w:val="en-US"/>
        </w:rPr>
        <w:t>Times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</w:rPr>
        <w:t>, 14 кегль, межстрочный интервал – 1,5. Поля со всех сторон – 20 мм. Абзацный отступ - 5 мм. Сноски внутри текста в квадратных скобках, с указанием номера в списке литературы и страницы. Выравнивание по ширине страницы. Объем статьи не более 7 страниц. Кавычки по тексту « - ». Название файла – по фамилии автора, например «Иванов И.И. статья» и «Иванов И.И. заявка». Тема письма «Конференция 2020»</w:t>
      </w:r>
    </w:p>
    <w:p>
      <w:pPr>
        <w:pStyle w:val="Normal"/>
        <w:ind w:firstLine="55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55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55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55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55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55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55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55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55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55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55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55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55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55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55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ind w:firstLine="55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ind w:firstLine="851"/>
        <w:jc w:val="right"/>
        <w:rPr/>
      </w:pPr>
      <w:r>
        <w:rPr>
          <w:b/>
        </w:rPr>
        <w:t>Приложение 2.</w:t>
      </w:r>
    </w:p>
    <w:p>
      <w:pPr>
        <w:pStyle w:val="Normal"/>
        <w:ind w:firstLine="550"/>
        <w:jc w:val="both"/>
        <w:rPr/>
      </w:pPr>
      <w:r>
        <w:rPr>
          <w:rFonts w:ascii="Times New Roman" w:hAnsi="Times New Roman"/>
          <w:b/>
          <w:sz w:val="24"/>
          <w:szCs w:val="24"/>
        </w:rPr>
        <w:t xml:space="preserve">РЕГИСТРАЦИОННАЯ ФОРМА </w:t>
      </w:r>
      <w:r>
        <w:rPr/>
        <w:t>(на каждого автора в одном файле)</w:t>
      </w:r>
    </w:p>
    <w:tbl>
      <w:tblPr>
        <w:tblW w:w="959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591"/>
      </w:tblGrid>
      <w:tr>
        <w:trPr/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21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b/>
                <w:b/>
              </w:rPr>
            </w:pPr>
            <w:r>
              <w:rPr>
                <w:rFonts w:eastAsia="Arial Unicode MS" w:cs="Arial Unicode MS" w:ascii="Arial Unicode MS" w:hAnsi="Arial Unicode MS"/>
                <w:b/>
              </w:rPr>
              <w:t>Всероссийская научная  конференция</w:t>
            </w:r>
          </w:p>
          <w:p>
            <w:pPr>
              <w:pStyle w:val="21"/>
              <w:spacing w:lineRule="auto" w:line="240" w:before="0" w:after="0"/>
              <w:jc w:val="center"/>
              <w:rPr/>
            </w:pPr>
            <w:r>
              <w:rPr/>
              <w:t xml:space="preserve">посвященная 90-летию кафедры философии </w:t>
            </w:r>
          </w:p>
          <w:p>
            <w:pPr>
              <w:pStyle w:val="21"/>
              <w:spacing w:lineRule="auto" w:line="240" w:before="0" w:after="0"/>
              <w:jc w:val="center"/>
              <w:rPr/>
            </w:pPr>
            <w:r>
              <w:rPr/>
              <w:t>Бурятского государственного университета имени Доржи Банзарова</w:t>
            </w:r>
          </w:p>
          <w:p>
            <w:pPr>
              <w:pStyle w:val="21"/>
              <w:spacing w:lineRule="auto" w:line="240" w:before="0" w:after="0"/>
              <w:jc w:val="center"/>
              <w:rPr>
                <w:b/>
                <w:b/>
                <w:i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«Человек и общество в поиске новых смыслов»</w:t>
            </w:r>
          </w:p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eastAsia="Arial Unicode MS" w:cs="Arial Unicode MS" w:ascii="Arial Unicode MS" w:hAnsi="Arial Unicode MS"/>
              </w:rPr>
              <w:t xml:space="preserve"> </w:t>
            </w:r>
          </w:p>
        </w:tc>
      </w:tr>
      <w:tr>
        <w:trPr/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(полностью):</w:t>
            </w:r>
          </w:p>
        </w:tc>
      </w:tr>
      <w:tr>
        <w:trPr/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Ученая степень, ученое звание, должность, место работы:</w:t>
            </w:r>
          </w:p>
        </w:tc>
      </w:tr>
      <w:tr>
        <w:trPr/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доклада, секция:</w:t>
            </w:r>
          </w:p>
        </w:tc>
      </w:tr>
      <w:tr>
        <w:trPr/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тел.:</w:t>
            </w:r>
          </w:p>
        </w:tc>
      </w:tr>
      <w:tr>
        <w:trPr/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 участия (очная/заочная):</w:t>
            </w:r>
          </w:p>
        </w:tc>
      </w:tr>
      <w:tr>
        <w:trPr/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средства, необходимые для  иллюстрации доклада:</w:t>
            </w:r>
          </w:p>
        </w:tc>
      </w:tr>
    </w:tbl>
    <w:p>
      <w:pPr>
        <w:pStyle w:val="Normal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Заявки и тексты докладов просим прислать в адрес оргкомитета: 670000, Россия, г. Улан-Удэ, ул. Смолина, 24а, Бурятский государственный университет, кафедра философии, или в электронном варианте с пометкой «КОНФЕРЕНЦИЯ 2022» по адресу: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bsu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philos</w:t>
      </w:r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>Контакты:</w:t>
      </w:r>
      <w:r>
        <w:rPr>
          <w:rFonts w:ascii="Times New Roman" w:hAnsi="Times New Roman"/>
          <w:sz w:val="24"/>
          <w:szCs w:val="24"/>
        </w:rPr>
        <w:t xml:space="preserve"> Тел. 8 (3012) 210562, факс 8 (3012) 210562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Золхоева Мария Валентиновна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Багаева Ксения Анатольевна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Организационный взнос – 150 руб. за страницу текста. Оплата производится после получения уведомления о принятии статьи. Перечисление на расчетный счет, номер которого будет выслан в дополнительном письме после подтверждения о принятия статьи.</w:t>
      </w:r>
    </w:p>
    <w:p>
      <w:pPr>
        <w:pStyle w:val="Normal"/>
        <w:tabs>
          <w:tab w:val="clear" w:pos="708"/>
          <w:tab w:val="left" w:pos="360" w:leader="none"/>
          <w:tab w:val="left" w:pos="90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Отсканированная копия платежного документа высылается на адрес конференции. Без оплаты материалы не допускаются к публикации. </w:t>
      </w:r>
    </w:p>
    <w:p>
      <w:pPr>
        <w:pStyle w:val="Normal"/>
        <w:tabs>
          <w:tab w:val="clear" w:pos="708"/>
          <w:tab w:val="left" w:pos="360" w:leader="none"/>
          <w:tab w:val="left" w:pos="90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коллеги!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Web"/>
        <w:spacing w:beforeAutospacing="0" w:before="0" w:afterAutospacing="0" w:after="120"/>
        <w:ind w:firstLine="567"/>
        <w:jc w:val="both"/>
        <w:rPr>
          <w:b/>
          <w:b/>
        </w:rPr>
      </w:pPr>
      <w:r>
        <w:rPr/>
        <w:t>Оргкомитет будет благодарен Вам за распространение информации о конференции среди преподавателей университетов, институтов, органов образования, которые будут заинтересованы в публикации материалов.</w:t>
      </w:r>
    </w:p>
    <w:p>
      <w:pPr>
        <w:pStyle w:val="Normal"/>
        <w:tabs>
          <w:tab w:val="clear" w:pos="708"/>
          <w:tab w:val="left" w:pos="360" w:leader="none"/>
          <w:tab w:val="left" w:pos="900" w:leader="none"/>
        </w:tabs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 Black">
    <w:charset w:val="cc"/>
    <w:family w:val="roman"/>
    <w:pitch w:val="variable"/>
  </w:font>
  <w:font w:name="Arial Unicode MS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207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802076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link w:val="a4"/>
    <w:qFormat/>
    <w:rsid w:val="00802076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Обычный (Интернет) Знак"/>
    <w:link w:val="Web"/>
    <w:uiPriority w:val="99"/>
    <w:qFormat/>
    <w:rsid w:val="00802076"/>
    <w:rPr>
      <w:rFonts w:ascii="Times New Roman" w:hAnsi="Times New Roman" w:eastAsia="Times New Roman" w:cs="Times New Roman"/>
      <w:sz w:val="24"/>
      <w:szCs w:val="24"/>
    </w:rPr>
  </w:style>
  <w:style w:type="character" w:styleId="ListLabel1">
    <w:name w:val="ListLabel 1"/>
    <w:qFormat/>
    <w:rPr>
      <w:i/>
      <w:lang w:val="ru-RU"/>
    </w:rPr>
  </w:style>
  <w:style w:type="character" w:styleId="ListLabel2">
    <w:name w:val="ListLabel 2"/>
    <w:qFormat/>
    <w:rPr>
      <w:rFonts w:cs="Symbol"/>
      <w:sz w:val="20"/>
    </w:rPr>
  </w:style>
  <w:style w:type="character" w:styleId="ListLabel3">
    <w:name w:val="ListLabel 3"/>
    <w:qFormat/>
    <w:rPr>
      <w:rFonts w:cs="Courier New"/>
      <w:sz w:val="20"/>
    </w:rPr>
  </w:style>
  <w:style w:type="character" w:styleId="ListLabel4">
    <w:name w:val="ListLabel 4"/>
    <w:qFormat/>
    <w:rPr>
      <w:rFonts w:cs="Wingdings"/>
      <w:sz w:val="20"/>
    </w:rPr>
  </w:style>
  <w:style w:type="character" w:styleId="ListLabel5">
    <w:name w:val="ListLabel 5"/>
    <w:qFormat/>
    <w:rPr>
      <w:rFonts w:cs="Wingdings"/>
      <w:sz w:val="20"/>
    </w:rPr>
  </w:style>
  <w:style w:type="character" w:styleId="ListLabel6">
    <w:name w:val="ListLabel 6"/>
    <w:qFormat/>
    <w:rPr>
      <w:rFonts w:cs="Wingdings"/>
      <w:sz w:val="20"/>
    </w:rPr>
  </w:style>
  <w:style w:type="character" w:styleId="ListLabel7">
    <w:name w:val="ListLabel 7"/>
    <w:qFormat/>
    <w:rPr>
      <w:rFonts w:cs="Wingdings"/>
      <w:sz w:val="20"/>
    </w:rPr>
  </w:style>
  <w:style w:type="character" w:styleId="ListLabel8">
    <w:name w:val="ListLabel 8"/>
    <w:qFormat/>
    <w:rPr>
      <w:rFonts w:cs="Wingdings"/>
      <w:sz w:val="20"/>
    </w:rPr>
  </w:style>
  <w:style w:type="character" w:styleId="ListLabel9">
    <w:name w:val="ListLabel 9"/>
    <w:qFormat/>
    <w:rPr>
      <w:rFonts w:cs="Wingdings"/>
      <w:sz w:val="20"/>
    </w:rPr>
  </w:style>
  <w:style w:type="character" w:styleId="ListLabel10">
    <w:name w:val="ListLabel 10"/>
    <w:qFormat/>
    <w:rPr>
      <w:rFonts w:cs="Wingdings"/>
      <w:sz w:val="20"/>
    </w:rPr>
  </w:style>
  <w:style w:type="character" w:styleId="ListLabel11">
    <w:name w:val="ListLabel 11"/>
    <w:qFormat/>
    <w:rPr>
      <w:rFonts w:cs="Symbol"/>
      <w:sz w:val="20"/>
    </w:rPr>
  </w:style>
  <w:style w:type="character" w:styleId="ListLabel12">
    <w:name w:val="ListLabel 12"/>
    <w:qFormat/>
    <w:rPr>
      <w:rFonts w:cs="Courier New"/>
      <w:sz w:val="20"/>
    </w:rPr>
  </w:style>
  <w:style w:type="character" w:styleId="ListLabel13">
    <w:name w:val="ListLabel 13"/>
    <w:qFormat/>
    <w:rPr>
      <w:rFonts w:cs="Wingdings"/>
      <w:sz w:val="20"/>
    </w:rPr>
  </w:style>
  <w:style w:type="character" w:styleId="ListLabel14">
    <w:name w:val="ListLabel 14"/>
    <w:qFormat/>
    <w:rPr>
      <w:rFonts w:cs="Wingdings"/>
      <w:sz w:val="20"/>
    </w:rPr>
  </w:style>
  <w:style w:type="character" w:styleId="ListLabel15">
    <w:name w:val="ListLabel 15"/>
    <w:qFormat/>
    <w:rPr>
      <w:rFonts w:cs="Wingdings"/>
      <w:sz w:val="20"/>
    </w:rPr>
  </w:style>
  <w:style w:type="character" w:styleId="ListLabel16">
    <w:name w:val="ListLabel 16"/>
    <w:qFormat/>
    <w:rPr>
      <w:rFonts w:cs="Wingdings"/>
      <w:sz w:val="20"/>
    </w:rPr>
  </w:style>
  <w:style w:type="character" w:styleId="ListLabel17">
    <w:name w:val="ListLabel 17"/>
    <w:qFormat/>
    <w:rPr>
      <w:rFonts w:cs="Wingdings"/>
      <w:sz w:val="20"/>
    </w:rPr>
  </w:style>
  <w:style w:type="character" w:styleId="ListLabel18">
    <w:name w:val="ListLabel 18"/>
    <w:qFormat/>
    <w:rPr>
      <w:rFonts w:cs="Wingdings"/>
      <w:sz w:val="20"/>
    </w:rPr>
  </w:style>
  <w:style w:type="character" w:styleId="ListLabel19">
    <w:name w:val="ListLabel 19"/>
    <w:qFormat/>
    <w:rPr>
      <w:rFonts w:cs="Wingdings"/>
      <w:sz w:val="20"/>
    </w:rPr>
  </w:style>
  <w:style w:type="character" w:styleId="ListLabel20">
    <w:name w:val="ListLabel 20"/>
    <w:qFormat/>
    <w:rPr>
      <w:rFonts w:cs="Symbol"/>
      <w:sz w:val="20"/>
    </w:rPr>
  </w:style>
  <w:style w:type="character" w:styleId="ListLabel21">
    <w:name w:val="ListLabel 21"/>
    <w:qFormat/>
    <w:rPr>
      <w:rFonts w:cs="Courier New"/>
      <w:sz w:val="20"/>
    </w:rPr>
  </w:style>
  <w:style w:type="character" w:styleId="ListLabel22">
    <w:name w:val="ListLabel 22"/>
    <w:qFormat/>
    <w:rPr>
      <w:rFonts w:cs="Wingdings"/>
      <w:sz w:val="20"/>
    </w:rPr>
  </w:style>
  <w:style w:type="character" w:styleId="ListLabel23">
    <w:name w:val="ListLabel 23"/>
    <w:qFormat/>
    <w:rPr>
      <w:rFonts w:cs="Wingdings"/>
      <w:sz w:val="20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Wingdings"/>
      <w:sz w:val="20"/>
    </w:rPr>
  </w:style>
  <w:style w:type="character" w:styleId="ListLabel26">
    <w:name w:val="ListLabel 26"/>
    <w:qFormat/>
    <w:rPr>
      <w:rFonts w:cs="Wingdings"/>
      <w:sz w:val="20"/>
    </w:rPr>
  </w:style>
  <w:style w:type="character" w:styleId="ListLabel27">
    <w:name w:val="ListLabel 27"/>
    <w:qFormat/>
    <w:rPr>
      <w:rFonts w:cs="Wingdings"/>
      <w:sz w:val="20"/>
    </w:rPr>
  </w:style>
  <w:style w:type="character" w:styleId="ListLabel28">
    <w:name w:val="ListLabel 28"/>
    <w:qFormat/>
    <w:rPr>
      <w:rFonts w:cs="Wingdings"/>
      <w:sz w:val="20"/>
    </w:rPr>
  </w:style>
  <w:style w:type="character" w:styleId="ListLabel29">
    <w:name w:val="ListLabel 29"/>
    <w:qFormat/>
    <w:rPr>
      <w:rFonts w:cs="Symbol"/>
      <w:sz w:val="20"/>
    </w:rPr>
  </w:style>
  <w:style w:type="character" w:styleId="ListLabel30">
    <w:name w:val="ListLabel 30"/>
    <w:qFormat/>
    <w:rPr>
      <w:rFonts w:cs="Courier New"/>
      <w:sz w:val="20"/>
    </w:rPr>
  </w:style>
  <w:style w:type="character" w:styleId="ListLabel31">
    <w:name w:val="ListLabel 31"/>
    <w:qFormat/>
    <w:rPr>
      <w:rFonts w:cs="Wingdings"/>
      <w:sz w:val="20"/>
    </w:rPr>
  </w:style>
  <w:style w:type="character" w:styleId="ListLabel32">
    <w:name w:val="ListLabel 32"/>
    <w:qFormat/>
    <w:rPr>
      <w:rFonts w:cs="Wingdings"/>
      <w:sz w:val="20"/>
    </w:rPr>
  </w:style>
  <w:style w:type="character" w:styleId="ListLabel33">
    <w:name w:val="ListLabel 33"/>
    <w:qFormat/>
    <w:rPr>
      <w:rFonts w:cs="Wingdings"/>
      <w:sz w:val="20"/>
    </w:rPr>
  </w:style>
  <w:style w:type="character" w:styleId="ListLabel34">
    <w:name w:val="ListLabel 34"/>
    <w:qFormat/>
    <w:rPr>
      <w:rFonts w:cs="Wingdings"/>
      <w:sz w:val="20"/>
    </w:rPr>
  </w:style>
  <w:style w:type="character" w:styleId="ListLabel35">
    <w:name w:val="ListLabel 35"/>
    <w:qFormat/>
    <w:rPr>
      <w:rFonts w:cs="Wingdings"/>
      <w:sz w:val="20"/>
    </w:rPr>
  </w:style>
  <w:style w:type="character" w:styleId="ListLabel36">
    <w:name w:val="ListLabel 36"/>
    <w:qFormat/>
    <w:rPr>
      <w:rFonts w:cs="Wingdings"/>
      <w:sz w:val="20"/>
    </w:rPr>
  </w:style>
  <w:style w:type="character" w:styleId="ListLabel37">
    <w:name w:val="ListLabel 37"/>
    <w:qFormat/>
    <w:rPr>
      <w:rFonts w:cs="Wingdings"/>
      <w:sz w:val="20"/>
    </w:rPr>
  </w:style>
  <w:style w:type="character" w:styleId="ListLabel38">
    <w:name w:val="ListLabel 38"/>
    <w:qFormat/>
    <w:rPr>
      <w:rFonts w:cs="Symbol"/>
      <w:sz w:val="20"/>
    </w:rPr>
  </w:style>
  <w:style w:type="character" w:styleId="ListLabel39">
    <w:name w:val="ListLabel 39"/>
    <w:qFormat/>
    <w:rPr>
      <w:rFonts w:cs="Courier New"/>
      <w:sz w:val="20"/>
    </w:rPr>
  </w:style>
  <w:style w:type="character" w:styleId="ListLabel40">
    <w:name w:val="ListLabel 40"/>
    <w:qFormat/>
    <w:rPr>
      <w:rFonts w:cs="Wingdings"/>
      <w:sz w:val="20"/>
    </w:rPr>
  </w:style>
  <w:style w:type="character" w:styleId="ListLabel41">
    <w:name w:val="ListLabel 41"/>
    <w:qFormat/>
    <w:rPr>
      <w:rFonts w:cs="Wingdings"/>
      <w:sz w:val="20"/>
    </w:rPr>
  </w:style>
  <w:style w:type="character" w:styleId="ListLabel42">
    <w:name w:val="ListLabel 42"/>
    <w:qFormat/>
    <w:rPr>
      <w:rFonts w:cs="Wingdings"/>
      <w:sz w:val="20"/>
    </w:rPr>
  </w:style>
  <w:style w:type="character" w:styleId="ListLabel43">
    <w:name w:val="ListLabel 43"/>
    <w:qFormat/>
    <w:rPr>
      <w:rFonts w:cs="Wingdings"/>
      <w:sz w:val="20"/>
    </w:rPr>
  </w:style>
  <w:style w:type="character" w:styleId="ListLabel44">
    <w:name w:val="ListLabel 44"/>
    <w:qFormat/>
    <w:rPr>
      <w:rFonts w:cs="Wingdings"/>
      <w:sz w:val="20"/>
    </w:rPr>
  </w:style>
  <w:style w:type="character" w:styleId="ListLabel45">
    <w:name w:val="ListLabel 45"/>
    <w:qFormat/>
    <w:rPr>
      <w:rFonts w:cs="Wingdings"/>
      <w:sz w:val="20"/>
    </w:rPr>
  </w:style>
  <w:style w:type="character" w:styleId="ListLabel46">
    <w:name w:val="ListLabel 46"/>
    <w:qFormat/>
    <w:rPr>
      <w:rFonts w:cs="Wingdings"/>
      <w:sz w:val="20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5"/>
    <w:rsid w:val="00802076"/>
    <w:pPr>
      <w:spacing w:lineRule="auto" w:line="240" w:before="0" w:after="120"/>
    </w:pPr>
    <w:rPr>
      <w:rFonts w:ascii="Times New Roman" w:hAnsi="Times New Roman"/>
      <w:sz w:val="24"/>
      <w:szCs w:val="24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802076"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21" w:customStyle="1">
    <w:name w:val="Основной текст 21"/>
    <w:basedOn w:val="Normal"/>
    <w:qFormat/>
    <w:rsid w:val="00802076"/>
    <w:pPr>
      <w:spacing w:lineRule="auto" w:line="480" w:before="0" w:after="120"/>
    </w:pPr>
    <w:rPr>
      <w:rFonts w:ascii="Times New Roman" w:hAnsi="Times New Roman"/>
      <w:sz w:val="24"/>
      <w:szCs w:val="24"/>
    </w:rPr>
  </w:style>
  <w:style w:type="paragraph" w:styleId="Web" w:customStyle="1">
    <w:name w:val="Обычный (Web)"/>
    <w:basedOn w:val="Normal"/>
    <w:next w:val="NormalWeb"/>
    <w:link w:val="a7"/>
    <w:uiPriority w:val="99"/>
    <w:unhideWhenUsed/>
    <w:qFormat/>
    <w:rsid w:val="00802076"/>
    <w:pPr>
      <w:suppressAutoHyphens w:val="false"/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-economy.ru/art.php?nArtId=636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Neat_Office/6.2.8.2$Windows_x86 LibreOffice_project/</Application>
  <Pages>5</Pages>
  <Words>845</Words>
  <Characters>5776</Characters>
  <CharactersWithSpaces>6646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2021-11-02T08:22:00Z</dcterms:created>
  <dc:creator>Тимур</dc:creator>
  <dc:description/>
  <dc:language>ru-RU</dc:language>
  <cp:lastModifiedBy/>
  <dcterms:modified xsi:type="dcterms:W3CDTF">2022-05-24T17:36:44Z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