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04" w:rsidRDefault="006C1B55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Информационное письмо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образования и науки Республики Бурятия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Межрегиональное  общественное Движение творческих педагогов «Исследователь»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4857750</wp:posOffset>
            </wp:positionH>
            <wp:positionV relativeFrom="paragraph">
              <wp:posOffset>160020</wp:posOffset>
            </wp:positionV>
            <wp:extent cx="1724025" cy="261747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617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Бурятское региональное  отделение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ФГБОУ </w:t>
      </w:r>
      <w:proofErr w:type="gramStart"/>
      <w:r>
        <w:rPr>
          <w:color w:val="000000"/>
          <w:sz w:val="24"/>
          <w:szCs w:val="24"/>
        </w:rPr>
        <w:t>ВО</w:t>
      </w:r>
      <w:proofErr w:type="gramEnd"/>
      <w:r>
        <w:rPr>
          <w:color w:val="000000"/>
          <w:sz w:val="24"/>
          <w:szCs w:val="24"/>
        </w:rPr>
        <w:t xml:space="preserve"> Бурятский государственный университет имени Доржи Банзарова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Институт непрерывного образования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Образовательный центр ООО «Исследователь»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информационная поддержка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интернет-сайты</w:t>
      </w:r>
      <w:r>
        <w:rPr>
          <w:color w:val="000000"/>
          <w:sz w:val="24"/>
          <w:szCs w:val="24"/>
        </w:rPr>
        <w:t xml:space="preserve">   </w:t>
      </w:r>
      <w:hyperlink r:id="rId7">
        <w:r>
          <w:rPr>
            <w:color w:val="0000FF"/>
            <w:sz w:val="24"/>
            <w:szCs w:val="24"/>
            <w:u w:val="single"/>
          </w:rPr>
          <w:t>www.bsu.ru</w:t>
        </w:r>
      </w:hyperlink>
      <w:r>
        <w:rPr>
          <w:color w:val="000000"/>
          <w:sz w:val="24"/>
          <w:szCs w:val="24"/>
        </w:rPr>
        <w:t>, www.brooodi.ru</w:t>
      </w:r>
    </w:p>
    <w:p w:rsidR="002D7F04" w:rsidRDefault="002D7F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Х</w:t>
      </w:r>
      <w:proofErr w:type="gramEnd"/>
      <w:r>
        <w:rPr>
          <w:b/>
          <w:color w:val="000000"/>
          <w:sz w:val="24"/>
          <w:szCs w:val="24"/>
        </w:rPr>
        <w:t>II Всероссийская научно-практическая конференция с международным участием</w:t>
      </w:r>
    </w:p>
    <w:p w:rsidR="002D7F04" w:rsidRDefault="002D7F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«УЧЕБНО-ИССЛЕДОВАТЕЛЬСКАЯ ДЕЯТЕЛЬНОСТЬ В СИСТЕМЕ ОБЩЕГО, ДОПОЛНИТЕЛЬНОГО И ПРОФЕССИОНАЛЬНОГО ОБРАЗОВАНИЯ»,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Улан-Удэ, 11-12 ноября 2021  г.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(платформа ZOOM</w:t>
      </w:r>
      <w:proofErr w:type="gramStart"/>
      <w:r>
        <w:rPr>
          <w:b/>
          <w:i/>
          <w:color w:val="000000"/>
          <w:sz w:val="24"/>
          <w:szCs w:val="24"/>
        </w:rPr>
        <w:t xml:space="preserve"> )</w:t>
      </w:r>
      <w:proofErr w:type="gramEnd"/>
    </w:p>
    <w:p w:rsidR="002D7F04" w:rsidRDefault="002D7F0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Конференция посвящена обсуждению проблемы сопровождения исследовательской деятельности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  <w:r>
        <w:rPr>
          <w:b/>
          <w:color w:val="000000"/>
          <w:sz w:val="24"/>
          <w:szCs w:val="24"/>
        </w:rPr>
        <w:t xml:space="preserve"> в цифровом образовательном пространстве.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 рамках конференции планируется обсудить следующий круг вопросов: </w:t>
      </w:r>
    </w:p>
    <w:p w:rsidR="002D7F04" w:rsidRDefault="006C1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0" w:firstLine="72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Подготовка педагога к сопровождению исследовательской деятельности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в цифровом образовательном пространстве.</w:t>
      </w:r>
    </w:p>
    <w:p w:rsidR="002D7F04" w:rsidRDefault="006C1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0" w:firstLine="720"/>
        <w:jc w:val="both"/>
        <w:rPr>
          <w:color w:val="000000"/>
        </w:rPr>
      </w:pPr>
      <w:r>
        <w:rPr>
          <w:color w:val="000000"/>
          <w:sz w:val="24"/>
          <w:szCs w:val="24"/>
        </w:rPr>
        <w:t>Исследовательский компонент в содержании и организации смешанного обучения.</w:t>
      </w:r>
    </w:p>
    <w:p w:rsidR="002D7F04" w:rsidRDefault="006C1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0" w:firstLine="720"/>
        <w:jc w:val="both"/>
        <w:rPr>
          <w:color w:val="000000"/>
        </w:rPr>
      </w:pPr>
      <w:r>
        <w:rPr>
          <w:color w:val="000000"/>
          <w:sz w:val="24"/>
          <w:szCs w:val="24"/>
        </w:rPr>
        <w:t>Цифровые образовательные ресурсы в помощь организации учебно</w:t>
      </w:r>
      <w:r>
        <w:rPr>
          <w:color w:val="000000"/>
          <w:sz w:val="24"/>
          <w:szCs w:val="24"/>
        </w:rPr>
        <w:t>-исследовательской деятельности школьников.</w:t>
      </w:r>
    </w:p>
    <w:p w:rsidR="002D7F04" w:rsidRDefault="006C1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0" w:firstLine="72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Образовательные </w:t>
      </w:r>
      <w:proofErr w:type="spellStart"/>
      <w:r>
        <w:rPr>
          <w:color w:val="000000"/>
          <w:sz w:val="24"/>
          <w:szCs w:val="24"/>
        </w:rPr>
        <w:t>контенты</w:t>
      </w:r>
      <w:proofErr w:type="spellEnd"/>
      <w:r>
        <w:rPr>
          <w:color w:val="000000"/>
          <w:sz w:val="24"/>
          <w:szCs w:val="24"/>
        </w:rPr>
        <w:t xml:space="preserve">, знакомящие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основами выполнения учебного исследования. </w:t>
      </w:r>
    </w:p>
    <w:p w:rsidR="002D7F04" w:rsidRDefault="006C1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0" w:firstLine="72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Методика организации исследовательской деятельности учащихся в различных предметных областях. </w:t>
      </w:r>
    </w:p>
    <w:p w:rsidR="002D7F04" w:rsidRDefault="006C1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0" w:firstLine="720"/>
        <w:jc w:val="both"/>
        <w:rPr>
          <w:color w:val="000000"/>
        </w:rPr>
      </w:pPr>
      <w:r>
        <w:rPr>
          <w:color w:val="000000"/>
          <w:sz w:val="24"/>
          <w:szCs w:val="24"/>
        </w:rPr>
        <w:t>Организация учебно-исс</w:t>
      </w:r>
      <w:r>
        <w:rPr>
          <w:color w:val="000000"/>
          <w:sz w:val="24"/>
          <w:szCs w:val="24"/>
        </w:rPr>
        <w:t>ледовательской деятельности в системе дополнительного образования.</w:t>
      </w:r>
    </w:p>
    <w:p w:rsidR="002D7F04" w:rsidRDefault="006C1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0" w:firstLine="720"/>
        <w:jc w:val="both"/>
        <w:rPr>
          <w:color w:val="000000"/>
        </w:rPr>
      </w:pPr>
      <w:r>
        <w:rPr>
          <w:color w:val="000000"/>
          <w:sz w:val="24"/>
          <w:szCs w:val="24"/>
        </w:rPr>
        <w:t>Психолого-педагогическое сопровождение учебно-исследовательской деятельности учащихся.</w:t>
      </w:r>
    </w:p>
    <w:p w:rsidR="002D7F04" w:rsidRDefault="006C1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0" w:firstLine="72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Организация работы по </w:t>
      </w:r>
      <w:proofErr w:type="gramStart"/>
      <w:r>
        <w:rPr>
          <w:color w:val="000000"/>
          <w:sz w:val="24"/>
          <w:szCs w:val="24"/>
        </w:rPr>
        <w:t>индивидуальному проекту</w:t>
      </w:r>
      <w:proofErr w:type="gramEnd"/>
      <w:r>
        <w:rPr>
          <w:color w:val="000000"/>
          <w:sz w:val="24"/>
          <w:szCs w:val="24"/>
        </w:rPr>
        <w:t xml:space="preserve"> в условиях реализации ФГОС СОО. </w:t>
      </w:r>
    </w:p>
    <w:p w:rsidR="002D7F04" w:rsidRDefault="006C1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0" w:firstLine="720"/>
        <w:jc w:val="both"/>
        <w:rPr>
          <w:color w:val="000000"/>
        </w:rPr>
      </w:pPr>
      <w:r>
        <w:rPr>
          <w:color w:val="000000"/>
          <w:sz w:val="24"/>
          <w:szCs w:val="24"/>
        </w:rPr>
        <w:t>Организационно-содержат</w:t>
      </w:r>
      <w:r>
        <w:rPr>
          <w:color w:val="000000"/>
          <w:sz w:val="24"/>
          <w:szCs w:val="24"/>
        </w:rPr>
        <w:t>ельные проблемы развития исследовательской деятельности в цифровом образовательном пространстве школы, колледжа и ВУЗа.</w:t>
      </w:r>
    </w:p>
    <w:p w:rsidR="002D7F04" w:rsidRDefault="002D7F0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720"/>
        <w:jc w:val="both"/>
        <w:rPr>
          <w:color w:val="000000"/>
          <w:sz w:val="24"/>
          <w:szCs w:val="24"/>
        </w:rPr>
      </w:pP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рамках конференции планируется проведение Круглого стола по теме </w:t>
      </w:r>
      <w:r>
        <w:rPr>
          <w:b/>
          <w:i/>
          <w:color w:val="000000"/>
          <w:sz w:val="24"/>
          <w:szCs w:val="24"/>
        </w:rPr>
        <w:t xml:space="preserve">«Организация учебного исследования на уроке или Исследовательский урок», </w:t>
      </w:r>
      <w:r>
        <w:rPr>
          <w:color w:val="000000"/>
          <w:sz w:val="24"/>
          <w:szCs w:val="24"/>
        </w:rPr>
        <w:t xml:space="preserve">а также будут проведены </w:t>
      </w:r>
      <w:r>
        <w:rPr>
          <w:b/>
          <w:color w:val="000000"/>
          <w:sz w:val="24"/>
          <w:szCs w:val="24"/>
        </w:rPr>
        <w:t>пленарное и секционные заседания, мастер-классы, организованы  площадки в школах г. Улан-Удэ и районах РБ по обмену опытом.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 рамках конференции пройдут курсы повышения квалификации по теме «Исследовательская и проектная деятельность: методики реализации и оценка эффективности» в объеме 36 часов (с участием </w:t>
      </w:r>
      <w:proofErr w:type="spellStart"/>
      <w:r>
        <w:rPr>
          <w:b/>
          <w:color w:val="000000"/>
          <w:sz w:val="24"/>
          <w:szCs w:val="24"/>
        </w:rPr>
        <w:t>к</w:t>
      </w:r>
      <w:proofErr w:type="gramStart"/>
      <w:r>
        <w:rPr>
          <w:b/>
          <w:color w:val="000000"/>
          <w:sz w:val="24"/>
          <w:szCs w:val="24"/>
        </w:rPr>
        <w:t>.п</w:t>
      </w:r>
      <w:proofErr w:type="gramEnd"/>
      <w:r>
        <w:rPr>
          <w:b/>
          <w:color w:val="000000"/>
          <w:sz w:val="24"/>
          <w:szCs w:val="24"/>
        </w:rPr>
        <w:t>сих.н</w:t>
      </w:r>
      <w:proofErr w:type="spellEnd"/>
      <w:r>
        <w:rPr>
          <w:b/>
          <w:color w:val="000000"/>
          <w:sz w:val="24"/>
          <w:szCs w:val="24"/>
        </w:rPr>
        <w:t>., председателя МОД ТП «Исследователь» А.В. Леонтовича (г. Моск</w:t>
      </w:r>
      <w:r>
        <w:rPr>
          <w:b/>
          <w:color w:val="000000"/>
          <w:sz w:val="24"/>
          <w:szCs w:val="24"/>
        </w:rPr>
        <w:t xml:space="preserve">ва).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Сроки: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проведение конференции</w:t>
      </w:r>
      <w:r>
        <w:rPr>
          <w:b/>
          <w:color w:val="000000"/>
          <w:sz w:val="24"/>
          <w:szCs w:val="24"/>
        </w:rPr>
        <w:t>– 11-12 ноября 2021 года</w:t>
      </w:r>
      <w:r>
        <w:rPr>
          <w:color w:val="000000"/>
          <w:sz w:val="24"/>
          <w:szCs w:val="24"/>
        </w:rPr>
        <w:t xml:space="preserve">;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сроки проведения курсов повышения квалификации – </w:t>
      </w:r>
      <w:r>
        <w:rPr>
          <w:b/>
          <w:color w:val="000000"/>
          <w:sz w:val="24"/>
          <w:szCs w:val="24"/>
        </w:rPr>
        <w:t xml:space="preserve">9- 12 ноября 2021 г.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прием заявок для участия (формирования программы) и статей для публикации (сборник будет публиковаться по итогам конференц</w:t>
      </w:r>
      <w:r>
        <w:rPr>
          <w:color w:val="000000"/>
          <w:sz w:val="24"/>
          <w:szCs w:val="24"/>
        </w:rPr>
        <w:t xml:space="preserve">ии) до </w:t>
      </w:r>
      <w:r>
        <w:rPr>
          <w:b/>
          <w:color w:val="000000"/>
          <w:sz w:val="24"/>
          <w:szCs w:val="24"/>
        </w:rPr>
        <w:t>8 ноября 2021 года включительно;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заявка для участия в курсах повышения квалификации</w:t>
      </w:r>
      <w:r>
        <w:rPr>
          <w:b/>
          <w:color w:val="000000"/>
          <w:sz w:val="24"/>
          <w:szCs w:val="24"/>
        </w:rPr>
        <w:t xml:space="preserve"> до 3 ноября </w:t>
      </w:r>
      <w:r>
        <w:rPr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с предоставлением копии паспорта, копии диплома об образовании с приложениями, копии СНИЛС).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программа конференции будет формироваться на основе поступивших заявок. По итогам конференции планируется издание сборника с размещением в системе РИНЦ.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b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Возможно заочное участие.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Требования к статьям: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Научные статьи, представленные к публика</w:t>
      </w:r>
      <w:r>
        <w:rPr>
          <w:color w:val="000000"/>
          <w:sz w:val="24"/>
          <w:szCs w:val="24"/>
        </w:rPr>
        <w:t xml:space="preserve">ции, должны: полностью соответствовать тематике Конференции; отражать результаты исследований, проведенных авторами лично; обладать актуальностью и научной новизной.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Оригинальность текста не менее 75%. Допускаемый процент </w:t>
      </w:r>
      <w:proofErr w:type="spellStart"/>
      <w:r>
        <w:rPr>
          <w:b/>
          <w:color w:val="000000"/>
          <w:sz w:val="24"/>
          <w:szCs w:val="24"/>
        </w:rPr>
        <w:t>самоцитирования</w:t>
      </w:r>
      <w:proofErr w:type="spellEnd"/>
      <w:r>
        <w:rPr>
          <w:b/>
          <w:color w:val="000000"/>
          <w:sz w:val="24"/>
          <w:szCs w:val="24"/>
        </w:rPr>
        <w:t xml:space="preserve"> в разделе «Список</w:t>
      </w:r>
      <w:r>
        <w:rPr>
          <w:b/>
          <w:color w:val="000000"/>
          <w:sz w:val="24"/>
          <w:szCs w:val="24"/>
        </w:rPr>
        <w:t xml:space="preserve"> использованных источников» не более 30%. По каждой статье необходимо </w:t>
      </w:r>
      <w:proofErr w:type="gramStart"/>
      <w:r>
        <w:rPr>
          <w:b/>
          <w:color w:val="000000"/>
          <w:sz w:val="24"/>
          <w:szCs w:val="24"/>
        </w:rPr>
        <w:t>предоставить экспертное заключение</w:t>
      </w:r>
      <w:proofErr w:type="gramEnd"/>
      <w:r>
        <w:rPr>
          <w:b/>
          <w:color w:val="000000"/>
          <w:sz w:val="24"/>
          <w:szCs w:val="24"/>
        </w:rPr>
        <w:t xml:space="preserve">.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Максимум статей для одного автора – 3. Максимальное количество авторов в статье – 5.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Статьи должны иметь следующие основные элементы: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постановка </w:t>
      </w:r>
      <w:r>
        <w:rPr>
          <w:color w:val="000000"/>
          <w:sz w:val="24"/>
          <w:szCs w:val="24"/>
        </w:rPr>
        <w:t xml:space="preserve">проблемы в общем виде и ее связь с важными научными и практическими заданиями;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анализ последних достижений и публикаций, в которых начато решение данной проблемы, выделение нерешенных ранее частей общей проблемы, которым посвящается данная статья;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 xml:space="preserve">формулирование цели и постановка задач работы;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представление основного материала исследования с полным обоснованием полученных научных результатов, формулирование рекомендаций;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выводы по данному исследованию и перспективы дальнейшего развития данног</w:t>
      </w:r>
      <w:r>
        <w:rPr>
          <w:color w:val="000000"/>
          <w:sz w:val="24"/>
          <w:szCs w:val="24"/>
        </w:rPr>
        <w:t>о направления.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Объем статьи: не более 5 страниц. Формат текста: MS </w:t>
      </w:r>
      <w:proofErr w:type="spellStart"/>
      <w:r>
        <w:rPr>
          <w:color w:val="000000"/>
          <w:sz w:val="24"/>
          <w:szCs w:val="24"/>
        </w:rPr>
        <w:t>Word</w:t>
      </w:r>
      <w:proofErr w:type="spellEnd"/>
      <w:r>
        <w:rPr>
          <w:color w:val="000000"/>
          <w:sz w:val="24"/>
          <w:szCs w:val="24"/>
        </w:rPr>
        <w:t xml:space="preserve"> (файлы с расширением *.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, *.</w:t>
      </w:r>
      <w:proofErr w:type="spellStart"/>
      <w:r>
        <w:rPr>
          <w:color w:val="000000"/>
          <w:sz w:val="24"/>
          <w:szCs w:val="24"/>
        </w:rPr>
        <w:t>docx</w:t>
      </w:r>
      <w:proofErr w:type="spellEnd"/>
      <w:r>
        <w:rPr>
          <w:color w:val="000000"/>
          <w:sz w:val="24"/>
          <w:szCs w:val="24"/>
        </w:rPr>
        <w:t>). Формат страницы: А</w:t>
      </w:r>
      <w:proofErr w:type="gramStart"/>
      <w:r>
        <w:rPr>
          <w:color w:val="000000"/>
          <w:sz w:val="24"/>
          <w:szCs w:val="24"/>
        </w:rPr>
        <w:t>4</w:t>
      </w:r>
      <w:proofErr w:type="gramEnd"/>
      <w:r>
        <w:rPr>
          <w:color w:val="000000"/>
          <w:sz w:val="24"/>
          <w:szCs w:val="24"/>
        </w:rPr>
        <w:t xml:space="preserve"> (210</w:t>
      </w:r>
      <w:r>
        <w:rPr>
          <w:rFonts w:ascii="Symbol" w:eastAsia="Symbol" w:hAnsi="Symbol" w:cs="Symbol"/>
          <w:color w:val="000000"/>
          <w:sz w:val="24"/>
          <w:szCs w:val="24"/>
        </w:rPr>
        <w:t></w:t>
      </w:r>
      <w:r>
        <w:rPr>
          <w:color w:val="000000"/>
          <w:sz w:val="24"/>
          <w:szCs w:val="24"/>
        </w:rPr>
        <w:t xml:space="preserve">297 мм). Поля: 20 мм – верхнее, нижнее, левое, правое. Шрифт: размер (кегль) – 10; тип – </w:t>
      </w:r>
      <w:proofErr w:type="spellStart"/>
      <w:r>
        <w:rPr>
          <w:color w:val="000000"/>
          <w:sz w:val="24"/>
          <w:szCs w:val="24"/>
        </w:rPr>
        <w:t>Tahoma</w:t>
      </w:r>
      <w:proofErr w:type="spellEnd"/>
      <w:r>
        <w:rPr>
          <w:color w:val="000000"/>
          <w:sz w:val="24"/>
          <w:szCs w:val="24"/>
        </w:rPr>
        <w:t xml:space="preserve">. Формулы оформляются только в редакторах MS </w:t>
      </w:r>
      <w:proofErr w:type="spellStart"/>
      <w:r>
        <w:rPr>
          <w:color w:val="000000"/>
          <w:sz w:val="24"/>
          <w:szCs w:val="24"/>
        </w:rPr>
        <w:t>Word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Microsoft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Equation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Editor</w:t>
      </w:r>
      <w:proofErr w:type="spellEnd"/>
      <w:r>
        <w:rPr>
          <w:color w:val="000000"/>
          <w:sz w:val="24"/>
          <w:szCs w:val="24"/>
        </w:rPr>
        <w:t xml:space="preserve"> или </w:t>
      </w:r>
      <w:proofErr w:type="spellStart"/>
      <w:r>
        <w:rPr>
          <w:color w:val="000000"/>
          <w:sz w:val="24"/>
          <w:szCs w:val="24"/>
        </w:rPr>
        <w:t>Mathtype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Equation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Editor</w:t>
      </w:r>
      <w:proofErr w:type="spellEnd"/>
      <w:r>
        <w:rPr>
          <w:color w:val="000000"/>
          <w:sz w:val="24"/>
          <w:szCs w:val="24"/>
        </w:rPr>
        <w:t>. В тексте допускаются рисунки, таблицы – не более 3. Рис</w:t>
      </w:r>
      <w:r>
        <w:rPr>
          <w:color w:val="000000"/>
          <w:sz w:val="24"/>
          <w:szCs w:val="24"/>
        </w:rPr>
        <w:t>унки следует выполнять размерами не менее 60</w:t>
      </w:r>
      <w:r>
        <w:rPr>
          <w:rFonts w:ascii="Symbol" w:eastAsia="Symbol" w:hAnsi="Symbol" w:cs="Symbol"/>
          <w:color w:val="000000"/>
          <w:sz w:val="24"/>
          <w:szCs w:val="24"/>
        </w:rPr>
        <w:t></w:t>
      </w:r>
      <w:r>
        <w:rPr>
          <w:color w:val="000000"/>
          <w:sz w:val="24"/>
          <w:szCs w:val="24"/>
        </w:rPr>
        <w:t>60 мм и не более 110</w:t>
      </w:r>
      <w:r>
        <w:rPr>
          <w:rFonts w:ascii="Symbol" w:eastAsia="Symbol" w:hAnsi="Symbol" w:cs="Symbol"/>
          <w:color w:val="000000"/>
          <w:sz w:val="24"/>
          <w:szCs w:val="24"/>
        </w:rPr>
        <w:t></w:t>
      </w:r>
      <w:r>
        <w:rPr>
          <w:color w:val="000000"/>
          <w:sz w:val="24"/>
          <w:szCs w:val="24"/>
        </w:rPr>
        <w:t>170 мм в формате *.</w:t>
      </w:r>
      <w:proofErr w:type="spellStart"/>
      <w:r>
        <w:rPr>
          <w:color w:val="000000"/>
          <w:sz w:val="24"/>
          <w:szCs w:val="24"/>
        </w:rPr>
        <w:t>jpg</w:t>
      </w:r>
      <w:proofErr w:type="spellEnd"/>
      <w:r>
        <w:rPr>
          <w:color w:val="000000"/>
          <w:sz w:val="24"/>
          <w:szCs w:val="24"/>
        </w:rPr>
        <w:t>, *.</w:t>
      </w:r>
      <w:proofErr w:type="spellStart"/>
      <w:r>
        <w:rPr>
          <w:color w:val="000000"/>
          <w:sz w:val="24"/>
          <w:szCs w:val="24"/>
        </w:rPr>
        <w:t>bmp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 электронном варианте каждая статья должна быть в отдельном файле. В наименовании файла необходимо указать фамилию корректирующего автора и название статьи.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Правила оформления статьи: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Без абзацного отступа указывается УДК (выравнивание по левому краю), на следующей строке без абзацного отступа – ГРНТИ (выравнивание по левому краю, междустрочный интервал – 12пт).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На следующей строке без абзацного отступа </w:t>
      </w:r>
      <w:r>
        <w:rPr>
          <w:color w:val="000000"/>
          <w:sz w:val="24"/>
          <w:szCs w:val="24"/>
        </w:rPr>
        <w:t xml:space="preserve">печатается название статьи прописными буквами, без переносов (шрифт – полужирный, выравнивание по центру, междустрочный интервал – 12пт).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На следующей строке без абзацного отступа печатаются фамилия и инициалы автор</w:t>
      </w:r>
      <w:proofErr w:type="gramStart"/>
      <w:r>
        <w:rPr>
          <w:color w:val="000000"/>
          <w:sz w:val="24"/>
          <w:szCs w:val="24"/>
        </w:rPr>
        <w:t>а(</w:t>
      </w:r>
      <w:proofErr w:type="spellStart"/>
      <w:proofErr w:type="gramEnd"/>
      <w:r>
        <w:rPr>
          <w:color w:val="000000"/>
          <w:sz w:val="24"/>
          <w:szCs w:val="24"/>
        </w:rPr>
        <w:t>ов</w:t>
      </w:r>
      <w:proofErr w:type="spellEnd"/>
      <w:r>
        <w:rPr>
          <w:color w:val="000000"/>
          <w:sz w:val="24"/>
          <w:szCs w:val="24"/>
        </w:rPr>
        <w:t xml:space="preserve">), через запятую (шрифт – полужирный, выравнивание по центру, междустрочный интервал – 12пт).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На следующей строке без абзацного отступа печатаются название организации,</w:t>
      </w:r>
      <w:r>
        <w:rPr>
          <w:color w:val="000000"/>
          <w:sz w:val="24"/>
          <w:szCs w:val="24"/>
        </w:rPr>
        <w:t xml:space="preserve"> города, страны через запятую (выравнивание по центру, междустрочный интервал – 12пт).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 На следующей строке с абзацным отступом 1,25 см</w:t>
      </w:r>
      <w:r>
        <w:rPr>
          <w:color w:val="000000"/>
          <w:sz w:val="24"/>
          <w:szCs w:val="24"/>
        </w:rPr>
        <w:br/>
        <w:t>печатается аннотация (выравнивание по ширине, слово «Аннотация» – шрифт – полужирный).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На следующей строке с абзац</w:t>
      </w:r>
      <w:r>
        <w:rPr>
          <w:color w:val="000000"/>
          <w:sz w:val="24"/>
          <w:szCs w:val="24"/>
        </w:rPr>
        <w:t>ным отступом 1,25 см печатаются ключевые слова (выравнивание по ширине, словосочетание «Ключевые слова» – шрифт – полужирный, междустрочный интервал – 12пт). Далее пункты со 2 по 6 дублируются на английском языке. Основной те</w:t>
      </w:r>
      <w:proofErr w:type="gramStart"/>
      <w:r>
        <w:rPr>
          <w:color w:val="000000"/>
          <w:sz w:val="24"/>
          <w:szCs w:val="24"/>
        </w:rPr>
        <w:t>кст ст</w:t>
      </w:r>
      <w:proofErr w:type="gramEnd"/>
      <w:r>
        <w:rPr>
          <w:color w:val="000000"/>
          <w:sz w:val="24"/>
          <w:szCs w:val="24"/>
        </w:rPr>
        <w:t>атьи печатается с абзацны</w:t>
      </w:r>
      <w:r>
        <w:rPr>
          <w:color w:val="000000"/>
          <w:sz w:val="24"/>
          <w:szCs w:val="24"/>
        </w:rPr>
        <w:t xml:space="preserve">м отступом 1,25 см и одинарным междустрочным интервалом. Примеры оформления рисунков, таблиц, формул представлены в примере оформления статьи. Оформление библиографического списка в соответствии с ГОСТ </w:t>
      </w:r>
      <w:proofErr w:type="gramStart"/>
      <w:r>
        <w:rPr>
          <w:color w:val="000000"/>
          <w:sz w:val="24"/>
          <w:szCs w:val="24"/>
        </w:rPr>
        <w:t>Р</w:t>
      </w:r>
      <w:proofErr w:type="gramEnd"/>
      <w:r>
        <w:rPr>
          <w:color w:val="000000"/>
          <w:sz w:val="24"/>
          <w:szCs w:val="24"/>
        </w:rPr>
        <w:t xml:space="preserve"> 7.05- 2008.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 статье необходимо представить следующи</w:t>
      </w:r>
      <w:r>
        <w:rPr>
          <w:color w:val="000000"/>
          <w:sz w:val="24"/>
          <w:szCs w:val="24"/>
        </w:rPr>
        <w:t xml:space="preserve">е сведения: коды </w:t>
      </w:r>
      <w:r>
        <w:rPr>
          <w:b/>
          <w:color w:val="000000"/>
          <w:sz w:val="24"/>
          <w:szCs w:val="24"/>
        </w:rPr>
        <w:t>УДК</w:t>
      </w:r>
      <w:r>
        <w:rPr>
          <w:color w:val="000000"/>
          <w:sz w:val="24"/>
          <w:szCs w:val="24"/>
        </w:rPr>
        <w:t>; разделы</w:t>
      </w:r>
      <w:r>
        <w:rPr>
          <w:color w:val="000000"/>
          <w:sz w:val="24"/>
          <w:szCs w:val="24"/>
        </w:rPr>
        <w:br/>
        <w:t>тематического рубрикатора (</w:t>
      </w:r>
      <w:r>
        <w:rPr>
          <w:b/>
          <w:color w:val="000000"/>
          <w:sz w:val="24"/>
          <w:szCs w:val="24"/>
        </w:rPr>
        <w:t>ГРНТИ</w:t>
      </w:r>
      <w:r>
        <w:rPr>
          <w:color w:val="000000"/>
          <w:sz w:val="24"/>
          <w:szCs w:val="24"/>
        </w:rPr>
        <w:t xml:space="preserve">); наименования статьи на русском и английском языках; ФИО авторов на русском и английском языках; списки </w:t>
      </w:r>
      <w:proofErr w:type="spellStart"/>
      <w:r>
        <w:rPr>
          <w:color w:val="000000"/>
          <w:sz w:val="24"/>
          <w:szCs w:val="24"/>
        </w:rPr>
        <w:t>аффилиаций</w:t>
      </w:r>
      <w:proofErr w:type="spellEnd"/>
      <w:r>
        <w:rPr>
          <w:color w:val="000000"/>
          <w:sz w:val="24"/>
          <w:szCs w:val="24"/>
        </w:rPr>
        <w:t xml:space="preserve"> на русском и английском языках; аннотации на русском и английском языках (каж</w:t>
      </w:r>
      <w:r>
        <w:rPr>
          <w:color w:val="000000"/>
          <w:sz w:val="24"/>
          <w:szCs w:val="24"/>
        </w:rPr>
        <w:t>дая не менее 40 слов); ключевые слова на русском и английском языках (каждый блок по 6-8 слов);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список использованных источников; информация об источниках финансирования; </w:t>
      </w:r>
      <w:r>
        <w:rPr>
          <w:b/>
          <w:color w:val="000000"/>
          <w:sz w:val="24"/>
          <w:szCs w:val="24"/>
        </w:rPr>
        <w:t>контактные данные всех авторов</w:t>
      </w:r>
      <w:r>
        <w:rPr>
          <w:color w:val="000000"/>
          <w:sz w:val="24"/>
          <w:szCs w:val="24"/>
        </w:rPr>
        <w:t>: фамилии имена отчества (полностью), контактные телефо</w:t>
      </w:r>
      <w:r>
        <w:rPr>
          <w:color w:val="000000"/>
          <w:sz w:val="24"/>
          <w:szCs w:val="24"/>
        </w:rPr>
        <w:t>ны (личные мобильные), адреса электронных почт, названия организаций (полностью по Уставу организаций), должности (без сокращений).</w:t>
      </w:r>
      <w:proofErr w:type="gramEnd"/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материалы необходимо подать вместе с регистрацией по электронной почте </w:t>
      </w:r>
      <w:hyperlink r:id="rId8">
        <w:r>
          <w:rPr>
            <w:color w:val="0000FF"/>
            <w:sz w:val="24"/>
            <w:szCs w:val="24"/>
            <w:u w:val="single"/>
          </w:rPr>
          <w:t>issledovatel03@mail.ru</w:t>
        </w:r>
      </w:hyperlink>
      <w:r>
        <w:rPr>
          <w:color w:val="000000"/>
          <w:sz w:val="24"/>
          <w:szCs w:val="24"/>
        </w:rPr>
        <w:t xml:space="preserve">  с пометкой «Материалы на НПК УИД-2021».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несоблюдения требований оформления материалы могут быть не приняты к рассмотрению. Оргкомитет оставляет за собой право отклонения материалов от публикации.</w:t>
      </w:r>
    </w:p>
    <w:p w:rsidR="002D7F04" w:rsidRDefault="002D7F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Оргвзнос</w:t>
      </w:r>
      <w:proofErr w:type="spellEnd"/>
      <w:r>
        <w:rPr>
          <w:b/>
          <w:color w:val="000000"/>
          <w:sz w:val="24"/>
          <w:szCs w:val="24"/>
        </w:rPr>
        <w:t xml:space="preserve"> составляет: публикация, пересылка сборника, сертификат участника-   900 руб. 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Стоимость обучения на курсах повышения квалификации в объеме 36 часов – 1000 руб. (с выдачей удостоверения установленного образца)</w:t>
      </w:r>
    </w:p>
    <w:p w:rsidR="002D7F04" w:rsidRDefault="002D7F0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оргкомитета:  Улан-Удэ, ул. Смо</w:t>
      </w:r>
      <w:r>
        <w:rPr>
          <w:color w:val="000000"/>
          <w:sz w:val="24"/>
          <w:szCs w:val="24"/>
        </w:rPr>
        <w:t>лина, 24а, главный корпус БГУ, ауд.0119, 0122.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Контактный телефон: 8 (3012) 212605, 89021617993</w:t>
      </w: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Электронная почта: </w:t>
      </w:r>
      <w:hyperlink r:id="rId9">
        <w:r>
          <w:rPr>
            <w:color w:val="0000FF"/>
            <w:sz w:val="24"/>
            <w:szCs w:val="24"/>
            <w:u w:val="single"/>
          </w:rPr>
          <w:t>issledovatel03@mail.ru</w:t>
        </w:r>
      </w:hyperlink>
      <w:r>
        <w:rPr>
          <w:color w:val="000000"/>
          <w:sz w:val="24"/>
          <w:szCs w:val="24"/>
        </w:rPr>
        <w:t xml:space="preserve"> </w:t>
      </w:r>
    </w:p>
    <w:p w:rsidR="002D7F04" w:rsidRDefault="002D7F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D7F04" w:rsidRDefault="002D7F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</w:p>
    <w:p w:rsidR="002D7F04" w:rsidRDefault="006C1B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Заявка</w:t>
      </w:r>
    </w:p>
    <w:p w:rsidR="002D7F04" w:rsidRDefault="002D7F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</w:p>
    <w:p w:rsidR="002D7F04" w:rsidRDefault="006C1B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ФИО полностью</w:t>
      </w:r>
    </w:p>
    <w:p w:rsidR="002D7F04" w:rsidRDefault="006C1B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hanging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Школа, район, </w:t>
      </w:r>
    </w:p>
    <w:p w:rsidR="002D7F04" w:rsidRDefault="006C1B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hanging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Предмет, должность</w:t>
      </w:r>
    </w:p>
    <w:p w:rsidR="002D7F04" w:rsidRDefault="006C1B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hanging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 доклада</w:t>
      </w:r>
    </w:p>
    <w:p w:rsidR="002D7F04" w:rsidRDefault="006C1B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hanging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участия (очная с публикацией/без публикации, заочная)</w:t>
      </w:r>
    </w:p>
    <w:p w:rsidR="002D7F04" w:rsidRDefault="006C1B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hanging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Участие в курсах повышения квалификации – да/нет</w:t>
      </w:r>
    </w:p>
    <w:p w:rsidR="002D7F04" w:rsidRDefault="006C1B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hanging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Контактные данные: телефон, эл. адрес</w:t>
      </w:r>
    </w:p>
    <w:p w:rsidR="002D7F04" w:rsidRDefault="002D7F04">
      <w:p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color w:val="000000"/>
          <w:sz w:val="24"/>
          <w:szCs w:val="24"/>
        </w:rPr>
      </w:pPr>
    </w:p>
    <w:sectPr w:rsidR="002D7F04">
      <w:pgSz w:w="11906" w:h="16838"/>
      <w:pgMar w:top="1134" w:right="850" w:bottom="1134" w:left="12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4F59"/>
    <w:multiLevelType w:val="multilevel"/>
    <w:tmpl w:val="78586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7B3F6A8F"/>
    <w:multiLevelType w:val="multilevel"/>
    <w:tmpl w:val="76B6A35A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D7F04"/>
    <w:rsid w:val="002D7F04"/>
    <w:rsid w:val="006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ledovatel03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sledovatel0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2021-10-20T11:31:00Z</dcterms:created>
  <dcterms:modified xsi:type="dcterms:W3CDTF">2021-10-20T11:31:00Z</dcterms:modified>
</cp:coreProperties>
</file>