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F6429" w14:textId="77777777" w:rsidR="00FE5038" w:rsidRPr="001001ED" w:rsidRDefault="00FE5038" w:rsidP="001001ED">
      <w:pPr>
        <w:jc w:val="right"/>
        <w:rPr>
          <w:rFonts w:ascii="Times New Roman" w:hAnsi="Times New Roman"/>
          <w:color w:val="002060"/>
          <w:sz w:val="24"/>
          <w:szCs w:val="24"/>
          <w:lang w:eastAsia="en-US"/>
        </w:rPr>
      </w:pPr>
    </w:p>
    <w:p w14:paraId="61525C2C" w14:textId="77777777" w:rsidR="00FE5038" w:rsidRPr="001001ED" w:rsidRDefault="00FE5038" w:rsidP="001001ED">
      <w:pPr>
        <w:jc w:val="right"/>
        <w:rPr>
          <w:rFonts w:ascii="Times New Roman" w:hAnsi="Times New Roman"/>
          <w:color w:val="002060"/>
          <w:sz w:val="24"/>
          <w:szCs w:val="24"/>
          <w:lang w:eastAsia="en-US"/>
        </w:rPr>
      </w:pPr>
      <w:r w:rsidRPr="001001ED">
        <w:rPr>
          <w:rFonts w:ascii="Times New Roman" w:hAnsi="Times New Roman"/>
          <w:color w:val="002060"/>
          <w:sz w:val="24"/>
          <w:szCs w:val="24"/>
          <w:lang w:eastAsia="en-US"/>
        </w:rPr>
        <w:t>Приложение № 2</w:t>
      </w:r>
    </w:p>
    <w:p w14:paraId="2FA6F7AD" w14:textId="77777777" w:rsidR="00FE5038" w:rsidRPr="001001ED" w:rsidRDefault="00FE5038" w:rsidP="001001ED">
      <w:pPr>
        <w:jc w:val="right"/>
        <w:rPr>
          <w:rFonts w:ascii="Times New Roman" w:hAnsi="Times New Roman"/>
          <w:color w:val="002060"/>
          <w:sz w:val="24"/>
          <w:szCs w:val="24"/>
          <w:lang w:eastAsia="en-US"/>
        </w:rPr>
      </w:pPr>
      <w:r w:rsidRPr="001001ED">
        <w:rPr>
          <w:rFonts w:ascii="Times New Roman" w:hAnsi="Times New Roman"/>
          <w:color w:val="002060"/>
          <w:sz w:val="24"/>
          <w:szCs w:val="24"/>
          <w:lang w:eastAsia="en-US"/>
        </w:rPr>
        <w:t>к постановлению Президиума</w:t>
      </w:r>
    </w:p>
    <w:p w14:paraId="33786CB5" w14:textId="77777777" w:rsidR="00FE5038" w:rsidRPr="001001ED" w:rsidRDefault="00FE5038" w:rsidP="001001ED">
      <w:pPr>
        <w:jc w:val="right"/>
        <w:rPr>
          <w:rFonts w:ascii="Times New Roman" w:hAnsi="Times New Roman"/>
          <w:color w:val="002060"/>
          <w:sz w:val="24"/>
          <w:szCs w:val="24"/>
          <w:lang w:eastAsia="en-US"/>
        </w:rPr>
      </w:pPr>
      <w:r w:rsidRPr="001001ED">
        <w:rPr>
          <w:rFonts w:ascii="Times New Roman" w:hAnsi="Times New Roman"/>
          <w:color w:val="002060"/>
          <w:sz w:val="24"/>
          <w:szCs w:val="24"/>
          <w:lang w:eastAsia="en-US"/>
        </w:rPr>
        <w:t>БРО Профсоюза</w:t>
      </w:r>
    </w:p>
    <w:p w14:paraId="2DEF32D2" w14:textId="77777777" w:rsidR="00FE5038" w:rsidRPr="001001ED" w:rsidRDefault="00FE5038" w:rsidP="001001ED">
      <w:pPr>
        <w:jc w:val="right"/>
        <w:rPr>
          <w:rFonts w:ascii="Times New Roman" w:hAnsi="Times New Roman"/>
          <w:color w:val="002060"/>
          <w:sz w:val="24"/>
          <w:szCs w:val="24"/>
          <w:lang w:eastAsia="en-US"/>
        </w:rPr>
      </w:pPr>
      <w:r w:rsidRPr="001001ED">
        <w:rPr>
          <w:rFonts w:ascii="Times New Roman" w:hAnsi="Times New Roman"/>
          <w:color w:val="002060"/>
          <w:sz w:val="24"/>
          <w:szCs w:val="24"/>
          <w:lang w:eastAsia="en-US"/>
        </w:rPr>
        <w:t>от 24 февраля 2021 г. № 6-6</w:t>
      </w:r>
    </w:p>
    <w:p w14:paraId="4C7D7EAD" w14:textId="77777777" w:rsidR="00FE5038" w:rsidRDefault="00FE5038" w:rsidP="001001ED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05718B44" w14:textId="77777777" w:rsidR="00FE5038" w:rsidRPr="004A72E6" w:rsidRDefault="00FE5038" w:rsidP="001001ED">
      <w:pPr>
        <w:jc w:val="center"/>
        <w:rPr>
          <w:rFonts w:ascii="Times New Roman" w:eastAsia="Times New Roman" w:hAnsi="Times New Roman"/>
          <w:color w:val="1F3864" w:themeColor="accent1" w:themeShade="80"/>
          <w:sz w:val="40"/>
          <w:szCs w:val="40"/>
        </w:rPr>
      </w:pPr>
      <w:r w:rsidRPr="004A72E6">
        <w:rPr>
          <w:rFonts w:ascii="Times New Roman" w:eastAsia="Times New Roman" w:hAnsi="Times New Roman"/>
          <w:b/>
          <w:bCs/>
          <w:color w:val="1F3864" w:themeColor="accent1" w:themeShade="80"/>
          <w:sz w:val="40"/>
          <w:szCs w:val="40"/>
        </w:rPr>
        <w:t>ПОЛОЖЕНИЕ</w:t>
      </w:r>
      <w:r w:rsidRPr="004A72E6">
        <w:rPr>
          <w:rFonts w:ascii="Times New Roman" w:eastAsia="Times New Roman" w:hAnsi="Times New Roman"/>
          <w:color w:val="1F3864" w:themeColor="accent1" w:themeShade="80"/>
          <w:sz w:val="40"/>
          <w:szCs w:val="40"/>
        </w:rPr>
        <w:br/>
        <w:t xml:space="preserve">о  </w:t>
      </w:r>
      <w:proofErr w:type="gramStart"/>
      <w:r w:rsidRPr="004A72E6">
        <w:rPr>
          <w:rFonts w:ascii="Times New Roman" w:eastAsia="Times New Roman" w:hAnsi="Times New Roman"/>
          <w:color w:val="1F3864" w:themeColor="accent1" w:themeShade="80"/>
          <w:sz w:val="40"/>
          <w:szCs w:val="40"/>
        </w:rPr>
        <w:t>республиканском</w:t>
      </w:r>
      <w:proofErr w:type="gramEnd"/>
      <w:r w:rsidRPr="004A72E6">
        <w:rPr>
          <w:rFonts w:ascii="Times New Roman" w:eastAsia="Times New Roman" w:hAnsi="Times New Roman"/>
          <w:color w:val="1F3864" w:themeColor="accent1" w:themeShade="80"/>
          <w:sz w:val="40"/>
          <w:szCs w:val="40"/>
        </w:rPr>
        <w:t xml:space="preserve"> Интернет–конкурсе </w:t>
      </w:r>
    </w:p>
    <w:p w14:paraId="6FF87010" w14:textId="77777777" w:rsidR="00FE5038" w:rsidRPr="004A72E6" w:rsidRDefault="00FE5038" w:rsidP="001001ED">
      <w:pPr>
        <w:jc w:val="center"/>
        <w:rPr>
          <w:rFonts w:ascii="Times New Roman" w:eastAsia="Times New Roman" w:hAnsi="Times New Roman"/>
          <w:color w:val="1F3864" w:themeColor="accent1" w:themeShade="80"/>
          <w:sz w:val="40"/>
          <w:szCs w:val="40"/>
        </w:rPr>
      </w:pPr>
      <w:r w:rsidRPr="004A72E6">
        <w:rPr>
          <w:rFonts w:ascii="Times New Roman" w:eastAsia="Times New Roman" w:hAnsi="Times New Roman"/>
          <w:color w:val="1F3864" w:themeColor="accent1" w:themeShade="80"/>
          <w:sz w:val="40"/>
          <w:szCs w:val="40"/>
        </w:rPr>
        <w:t>первичных профсоюзных организаций </w:t>
      </w:r>
      <w:r w:rsidRPr="004A72E6">
        <w:rPr>
          <w:rFonts w:ascii="Times New Roman" w:eastAsia="Times New Roman" w:hAnsi="Times New Roman"/>
          <w:color w:val="1F3864" w:themeColor="accent1" w:themeShade="80"/>
          <w:sz w:val="40"/>
          <w:szCs w:val="40"/>
        </w:rPr>
        <w:br/>
      </w:r>
      <w:r w:rsidRPr="004A72E6">
        <w:rPr>
          <w:rFonts w:ascii="Times New Roman" w:eastAsia="Times New Roman" w:hAnsi="Times New Roman"/>
          <w:b/>
          <w:bCs/>
          <w:color w:val="1F3864" w:themeColor="accent1" w:themeShade="80"/>
          <w:sz w:val="40"/>
          <w:szCs w:val="40"/>
        </w:rPr>
        <w:t>«Лучший профсоюзный уголок»</w:t>
      </w:r>
    </w:p>
    <w:p w14:paraId="28F01724" w14:textId="77777777" w:rsidR="00FE5038" w:rsidRPr="001001ED" w:rsidRDefault="00FE5038" w:rsidP="001001E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1.Общие положения.</w:t>
      </w:r>
    </w:p>
    <w:p w14:paraId="1DB48756" w14:textId="77777777" w:rsidR="00FE5038" w:rsidRPr="001001ED" w:rsidRDefault="00FE5038" w:rsidP="001001ED">
      <w:pPr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1.1. Республиканский  Интернет–конкурс первичных  профсоюзных организаций «Лучший профсоюзный уголок» (далее – Конкурс) проводится с целью выявления творчески работающих первичных организаций Профсоюза, активизации их деятельности, направленной на выполнение уставных задач Профсоюза, в том числе в области представительства и защиты социально-трудовых прав и профессиональных интересов членов Профсоюза.</w:t>
      </w:r>
    </w:p>
    <w:p w14:paraId="31B8BE1E" w14:textId="77777777" w:rsidR="00FE5038" w:rsidRPr="001001ED" w:rsidRDefault="00FE5038" w:rsidP="001001ED">
      <w:pPr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1.2. Конкурс направлен на повышение эффективности работы первичных профсоюзных организаций, а также содействие обобщению и распространению опыта применения информационно-коммуникативных технологий в деятельности первичных профсоюзных организаций, популяризации и повышению имиджа Профсоюза.</w:t>
      </w:r>
    </w:p>
    <w:p w14:paraId="17625081" w14:textId="77777777" w:rsidR="00FE5038" w:rsidRPr="001001ED" w:rsidRDefault="00FE5038" w:rsidP="001001E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2.Участники конкурса.</w:t>
      </w:r>
    </w:p>
    <w:p w14:paraId="6C8F9697" w14:textId="77777777" w:rsidR="004A72E6" w:rsidRDefault="00FE5038" w:rsidP="001001E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2.1.</w:t>
      </w:r>
      <w:r w:rsidRPr="001001ED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 </w:t>
      </w: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Участниками</w:t>
      </w:r>
      <w:r w:rsidRPr="001001ED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 </w:t>
      </w: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Конкурса могут быть первичные профсоюзные организации учреждений дошкольного, общего, дополнительного образования и среднего профессионального образования.</w:t>
      </w:r>
    </w:p>
    <w:p w14:paraId="31B722E8" w14:textId="4BC751E4" w:rsidR="00FE5038" w:rsidRPr="004A72E6" w:rsidRDefault="00FE5038" w:rsidP="001001E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2.2. Участи</w:t>
      </w:r>
      <w:r w:rsidR="004A72E6">
        <w:rPr>
          <w:rFonts w:ascii="Times New Roman" w:eastAsia="Times New Roman" w:hAnsi="Times New Roman"/>
          <w:color w:val="002060"/>
          <w:sz w:val="28"/>
          <w:szCs w:val="28"/>
        </w:rPr>
        <w:t>е в Конкурсе осуществляется путе</w:t>
      </w: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 xml:space="preserve">м  подачи заявки  в </w:t>
      </w:r>
      <w:proofErr w:type="spellStart"/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реском</w:t>
      </w:r>
      <w:proofErr w:type="spellEnd"/>
      <w:r w:rsidRPr="001001ED">
        <w:rPr>
          <w:rFonts w:ascii="Times New Roman" w:eastAsia="Times New Roman" w:hAnsi="Times New Roman"/>
          <w:color w:val="002060"/>
          <w:sz w:val="28"/>
          <w:szCs w:val="28"/>
        </w:rPr>
        <w:t xml:space="preserve"> Профсоюза по адресу:</w:t>
      </w:r>
      <w:r w:rsidRPr="001001ED">
        <w:rPr>
          <w:rFonts w:ascii="Times New Roman" w:eastAsia="Times New Roman" w:hAnsi="Times New Roman"/>
          <w:color w:val="002060"/>
          <w:sz w:val="28"/>
          <w:szCs w:val="28"/>
          <w:bdr w:val="none" w:sz="0" w:space="0" w:color="auto" w:frame="1"/>
        </w:rPr>
        <w:t xml:space="preserve"> </w:t>
      </w:r>
      <w:r w:rsidRPr="001001ED">
        <w:rPr>
          <w:rFonts w:ascii="Times New Roman" w:eastAsia="Times New Roman" w:hAnsi="Times New Roman"/>
          <w:b/>
          <w:color w:val="002060"/>
          <w:sz w:val="28"/>
          <w:szCs w:val="28"/>
          <w:bdr w:val="none" w:sz="0" w:space="0" w:color="auto" w:frame="1"/>
          <w:lang w:val="en-US"/>
        </w:rPr>
        <w:t>e</w:t>
      </w:r>
      <w:r w:rsidRPr="001001ED">
        <w:rPr>
          <w:rFonts w:ascii="Times New Roman" w:eastAsia="Times New Roman" w:hAnsi="Times New Roman"/>
          <w:b/>
          <w:color w:val="002060"/>
          <w:sz w:val="28"/>
          <w:szCs w:val="28"/>
          <w:bdr w:val="none" w:sz="0" w:space="0" w:color="auto" w:frame="1"/>
        </w:rPr>
        <w:t>-</w:t>
      </w:r>
      <w:r w:rsidRPr="001001ED">
        <w:rPr>
          <w:rFonts w:ascii="Times New Roman" w:eastAsia="Times New Roman" w:hAnsi="Times New Roman"/>
          <w:b/>
          <w:color w:val="002060"/>
          <w:sz w:val="28"/>
          <w:szCs w:val="28"/>
          <w:bdr w:val="none" w:sz="0" w:space="0" w:color="auto" w:frame="1"/>
          <w:lang w:val="en-US"/>
        </w:rPr>
        <w:t>mail</w:t>
      </w:r>
      <w:r w:rsidRPr="001001ED">
        <w:rPr>
          <w:rFonts w:ascii="Times New Roman" w:eastAsia="Times New Roman" w:hAnsi="Times New Roman"/>
          <w:b/>
          <w:color w:val="002060"/>
          <w:sz w:val="28"/>
          <w:szCs w:val="28"/>
          <w:bdr w:val="none" w:sz="0" w:space="0" w:color="auto" w:frame="1"/>
        </w:rPr>
        <w:t>: 03@</w:t>
      </w:r>
      <w:proofErr w:type="spellStart"/>
      <w:r w:rsidRPr="001001ED">
        <w:rPr>
          <w:rFonts w:ascii="Times New Roman" w:eastAsia="Times New Roman" w:hAnsi="Times New Roman"/>
          <w:b/>
          <w:color w:val="002060"/>
          <w:sz w:val="28"/>
          <w:szCs w:val="28"/>
          <w:bdr w:val="none" w:sz="0" w:space="0" w:color="auto" w:frame="1"/>
          <w:lang w:val="en-US"/>
        </w:rPr>
        <w:t>broprof</w:t>
      </w:r>
      <w:proofErr w:type="spellEnd"/>
      <w:r w:rsidRPr="001001ED">
        <w:rPr>
          <w:rFonts w:ascii="Times New Roman" w:eastAsia="Times New Roman" w:hAnsi="Times New Roman"/>
          <w:b/>
          <w:color w:val="002060"/>
          <w:sz w:val="28"/>
          <w:szCs w:val="28"/>
          <w:bdr w:val="none" w:sz="0" w:space="0" w:color="auto" w:frame="1"/>
        </w:rPr>
        <w:t>.</w:t>
      </w:r>
      <w:proofErr w:type="spellStart"/>
      <w:r w:rsidRPr="001001ED">
        <w:rPr>
          <w:rFonts w:ascii="Times New Roman" w:eastAsia="Times New Roman" w:hAnsi="Times New Roman"/>
          <w:b/>
          <w:color w:val="002060"/>
          <w:sz w:val="28"/>
          <w:szCs w:val="28"/>
          <w:bdr w:val="none" w:sz="0" w:space="0" w:color="auto" w:frame="1"/>
          <w:lang w:val="en-US"/>
        </w:rPr>
        <w:t>ru</w:t>
      </w:r>
      <w:proofErr w:type="spellEnd"/>
      <w:r w:rsidRPr="001001ED">
        <w:rPr>
          <w:rFonts w:ascii="Times New Roman" w:eastAsia="Times New Roman" w:hAnsi="Times New Roman"/>
          <w:b/>
          <w:color w:val="002060"/>
          <w:sz w:val="28"/>
          <w:szCs w:val="28"/>
        </w:rPr>
        <w:t>.</w:t>
      </w:r>
    </w:p>
    <w:p w14:paraId="59C2E10B" w14:textId="77777777" w:rsidR="00FE5038" w:rsidRPr="001001ED" w:rsidRDefault="00FE5038" w:rsidP="001001ED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 xml:space="preserve"> 3. Организация конкурса.</w:t>
      </w:r>
    </w:p>
    <w:p w14:paraId="244036C5" w14:textId="77777777" w:rsidR="00FE5038" w:rsidRPr="001001ED" w:rsidRDefault="00FE5038" w:rsidP="001001E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3.1. В Конкурсе могут принять участие:</w:t>
      </w:r>
    </w:p>
    <w:p w14:paraId="4E81D9E4" w14:textId="77777777" w:rsidR="00FE5038" w:rsidRPr="001001ED" w:rsidRDefault="00FE5038" w:rsidP="001001ED">
      <w:pPr>
        <w:widowControl w:val="0"/>
        <w:numPr>
          <w:ilvl w:val="0"/>
          <w:numId w:val="6"/>
        </w:numPr>
        <w:suppressAutoHyphens/>
        <w:autoSpaceDE w:val="0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  <w:t>первичные профсоюзные организации дошкольных образовательных учреждений;</w:t>
      </w:r>
    </w:p>
    <w:p w14:paraId="6690CDC0" w14:textId="77777777" w:rsidR="00FE5038" w:rsidRPr="001001ED" w:rsidRDefault="00FE5038" w:rsidP="001001ED">
      <w:pPr>
        <w:widowControl w:val="0"/>
        <w:numPr>
          <w:ilvl w:val="0"/>
          <w:numId w:val="6"/>
        </w:numPr>
        <w:suppressAutoHyphens/>
        <w:autoSpaceDE w:val="0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  <w:t>первичные профсоюзные организации общеобразовательных учреждений;</w:t>
      </w:r>
    </w:p>
    <w:p w14:paraId="5C323B5B" w14:textId="77777777" w:rsidR="00FE5038" w:rsidRPr="001001ED" w:rsidRDefault="00FE5038" w:rsidP="001001ED">
      <w:pPr>
        <w:widowControl w:val="0"/>
        <w:numPr>
          <w:ilvl w:val="0"/>
          <w:numId w:val="6"/>
        </w:numPr>
        <w:suppressAutoHyphens/>
        <w:autoSpaceDE w:val="0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  <w:t>первичные профсоюзные организации учреждений дополнительного образования;</w:t>
      </w:r>
    </w:p>
    <w:p w14:paraId="0E1BEE86" w14:textId="77777777" w:rsidR="00FE5038" w:rsidRPr="001001ED" w:rsidRDefault="00FE5038" w:rsidP="001001ED">
      <w:pPr>
        <w:widowControl w:val="0"/>
        <w:numPr>
          <w:ilvl w:val="0"/>
          <w:numId w:val="6"/>
        </w:numPr>
        <w:suppressAutoHyphens/>
        <w:autoSpaceDE w:val="0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  <w:t>первичные профсоюзные организации учреждений среднего и высшего профессионального образования.</w:t>
      </w:r>
      <w:r w:rsidRPr="001001ED"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  <w:t xml:space="preserve"> </w:t>
      </w:r>
    </w:p>
    <w:p w14:paraId="609A43B3" w14:textId="530589BD" w:rsidR="00FE5038" w:rsidRPr="004A72E6" w:rsidRDefault="00FE5038" w:rsidP="004A72E6">
      <w:pPr>
        <w:pStyle w:val="a3"/>
        <w:widowControl w:val="0"/>
        <w:numPr>
          <w:ilvl w:val="1"/>
          <w:numId w:val="9"/>
        </w:numPr>
        <w:suppressAutoHyphens/>
        <w:autoSpaceDE w:val="0"/>
        <w:spacing w:before="100" w:beforeAutospacing="1" w:after="100" w:afterAutospacing="1"/>
        <w:jc w:val="both"/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</w:pPr>
      <w:r w:rsidRPr="004A72E6"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  <w:t>При подведении итогов смотра-конкурса на лучший профсоюзный уголок</w:t>
      </w:r>
      <w:r w:rsidRPr="004A72E6"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  <w:t xml:space="preserve">     </w:t>
      </w:r>
      <w:r w:rsidRPr="004A72E6"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  <w:t>учитываются:</w:t>
      </w:r>
    </w:p>
    <w:p w14:paraId="19240CA3" w14:textId="77777777" w:rsidR="00FE5038" w:rsidRPr="001001ED" w:rsidRDefault="00FE5038" w:rsidP="001001E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  <w:lastRenderedPageBreak/>
        <w:t>наличие логотипа отраслевого Профсоюза;</w:t>
      </w:r>
    </w:p>
    <w:p w14:paraId="17057E31" w14:textId="77777777" w:rsidR="00FE5038" w:rsidRPr="001001ED" w:rsidRDefault="00FE5038" w:rsidP="001001E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  <w:t>полнота информации о деятельности профсоюзных органов и освещение различных направлений деятельности профсоюзной организации;</w:t>
      </w:r>
    </w:p>
    <w:p w14:paraId="48C6E163" w14:textId="77777777" w:rsidR="00FE5038" w:rsidRPr="001001ED" w:rsidRDefault="00FE5038" w:rsidP="001001E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  <w:t>показ результативности деятельности профорганизации и профсоюзных органов;</w:t>
      </w:r>
    </w:p>
    <w:p w14:paraId="10C166AA" w14:textId="77777777" w:rsidR="00FE5038" w:rsidRPr="001001ED" w:rsidRDefault="00FE5038" w:rsidP="001001E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  <w:t>актуальность и оперативность представленных материалов, их регулярное обновление;</w:t>
      </w:r>
    </w:p>
    <w:p w14:paraId="668C371C" w14:textId="77777777" w:rsidR="00FE5038" w:rsidRPr="001001ED" w:rsidRDefault="00FE5038" w:rsidP="001001E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  <w:t>использование фотоматериалов и компьютерных технологий;</w:t>
      </w:r>
    </w:p>
    <w:p w14:paraId="2C2B2595" w14:textId="77777777" w:rsidR="00FE5038" w:rsidRPr="001001ED" w:rsidRDefault="00FE5038" w:rsidP="001001E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NewRomanPSMT" w:hAnsi="Times New Roman" w:cs="Calibri"/>
          <w:color w:val="002060"/>
          <w:sz w:val="28"/>
          <w:szCs w:val="28"/>
          <w:lang w:eastAsia="ar-SA"/>
        </w:rPr>
        <w:t>эстетичность и культура оформления.</w:t>
      </w:r>
    </w:p>
    <w:p w14:paraId="0E4D9B00" w14:textId="77777777" w:rsidR="00FE5038" w:rsidRPr="001001ED" w:rsidRDefault="00FE5038" w:rsidP="001001E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3.3. Организацию и</w:t>
      </w:r>
      <w:bookmarkStart w:id="0" w:name="_GoBack"/>
      <w:bookmarkEnd w:id="0"/>
      <w:r w:rsidRPr="001001ED">
        <w:rPr>
          <w:rFonts w:ascii="Times New Roman" w:eastAsia="Times New Roman" w:hAnsi="Times New Roman"/>
          <w:color w:val="002060"/>
          <w:sz w:val="28"/>
          <w:szCs w:val="28"/>
        </w:rPr>
        <w:t xml:space="preserve"> проведение Конкурса осуществляет оргкомитет республиканской организации  Профсоюза, которая:</w:t>
      </w:r>
    </w:p>
    <w:p w14:paraId="5240089E" w14:textId="77777777" w:rsidR="00FE5038" w:rsidRPr="001001ED" w:rsidRDefault="00FE5038" w:rsidP="001001ED">
      <w:pPr>
        <w:widowControl w:val="0"/>
        <w:numPr>
          <w:ilvl w:val="0"/>
          <w:numId w:val="7"/>
        </w:numPr>
        <w:suppressAutoHyphens/>
        <w:autoSpaceDE w:val="0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  <w:t>формирует состав жюри и организует экспертизу материалов первичных профсоюзных организаций, присланных на конкурс;</w:t>
      </w:r>
    </w:p>
    <w:p w14:paraId="7D978962" w14:textId="77777777" w:rsidR="00FE5038" w:rsidRPr="001001ED" w:rsidRDefault="00FE5038" w:rsidP="001001ED">
      <w:pPr>
        <w:widowControl w:val="0"/>
        <w:numPr>
          <w:ilvl w:val="0"/>
          <w:numId w:val="7"/>
        </w:numPr>
        <w:suppressAutoHyphens/>
        <w:autoSpaceDE w:val="0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  <w:t>доводит до сведения первичных и территориальных организаций Профсоюза информацию о Конкурсе и осуществляет консультационное сопровождение Конкурса;</w:t>
      </w:r>
    </w:p>
    <w:p w14:paraId="397E7BB3" w14:textId="77777777" w:rsidR="00FE5038" w:rsidRPr="001001ED" w:rsidRDefault="00FE5038" w:rsidP="001001ED">
      <w:pPr>
        <w:widowControl w:val="0"/>
        <w:numPr>
          <w:ilvl w:val="0"/>
          <w:numId w:val="7"/>
        </w:numPr>
        <w:suppressAutoHyphens/>
        <w:autoSpaceDE w:val="0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  <w:t>оказывает помощь первичным профсоюзным организациям, принимающим участие в Конкурсе, при регистрации, в размещении материалов на сайте республиканской организации Профсоюза;</w:t>
      </w:r>
    </w:p>
    <w:p w14:paraId="445C48AF" w14:textId="77777777" w:rsidR="00FE5038" w:rsidRPr="001001ED" w:rsidRDefault="00FE5038" w:rsidP="001001ED">
      <w:pPr>
        <w:widowControl w:val="0"/>
        <w:numPr>
          <w:ilvl w:val="0"/>
          <w:numId w:val="7"/>
        </w:numPr>
        <w:suppressAutoHyphens/>
        <w:autoSpaceDE w:val="0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</w:pPr>
      <w:r w:rsidRPr="001001ED">
        <w:rPr>
          <w:rFonts w:ascii="Times New Roman" w:eastAsia="Times New Roman" w:hAnsi="Times New Roman" w:cs="Calibri"/>
          <w:color w:val="002060"/>
          <w:sz w:val="28"/>
          <w:szCs w:val="28"/>
          <w:lang w:eastAsia="ar-SA"/>
        </w:rPr>
        <w:t>обеспечивает информационное сопровождение Конкурса на сайте Профсоюза.</w:t>
      </w:r>
    </w:p>
    <w:p w14:paraId="235D466E" w14:textId="77777777" w:rsidR="00FE5038" w:rsidRPr="001001ED" w:rsidRDefault="00FE5038" w:rsidP="001001ED">
      <w:pPr>
        <w:pStyle w:val="a3"/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Порядок проведения Конкурса:</w:t>
      </w:r>
    </w:p>
    <w:p w14:paraId="4C63B02B" w14:textId="77777777" w:rsidR="00FE5038" w:rsidRPr="001001ED" w:rsidRDefault="00FE5038" w:rsidP="001001ED">
      <w:pPr>
        <w:pStyle w:val="a3"/>
        <w:ind w:left="0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br/>
        <w:t xml:space="preserve">4.1. Регистрация участников Конкурса и размещение конкурсных материалов заканчивается </w:t>
      </w:r>
      <w:r w:rsidRPr="001001ED">
        <w:rPr>
          <w:rFonts w:ascii="Times New Roman" w:eastAsia="Times New Roman" w:hAnsi="Times New Roman"/>
          <w:b/>
          <w:color w:val="002060"/>
          <w:sz w:val="28"/>
          <w:szCs w:val="28"/>
        </w:rPr>
        <w:t>3 мая 2021 г. 18.00.</w:t>
      </w:r>
    </w:p>
    <w:p w14:paraId="276A4308" w14:textId="77777777" w:rsidR="00FE5038" w:rsidRPr="001001ED" w:rsidRDefault="00FE5038" w:rsidP="001001ED">
      <w:pPr>
        <w:jc w:val="both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4.2. По решению оргкомитета республиканской организации Профсоюза конкурсные материалы, не соответствующие требованиям, удаляются.</w:t>
      </w:r>
      <w:r w:rsidRPr="001001ED">
        <w:rPr>
          <w:rFonts w:ascii="Times New Roman" w:eastAsia="Times New Roman" w:hAnsi="Times New Roman"/>
          <w:color w:val="002060"/>
          <w:sz w:val="28"/>
          <w:szCs w:val="28"/>
        </w:rPr>
        <w:br/>
        <w:t xml:space="preserve">4.3. Подведение итогов Конкурса проводится </w:t>
      </w:r>
      <w:r w:rsidRPr="001001ED">
        <w:rPr>
          <w:rFonts w:ascii="Times New Roman" w:eastAsia="Times New Roman" w:hAnsi="Times New Roman"/>
          <w:b/>
          <w:color w:val="002060"/>
          <w:sz w:val="28"/>
          <w:szCs w:val="28"/>
        </w:rPr>
        <w:t>с 3 по 14 мая 2021 года.</w:t>
      </w:r>
    </w:p>
    <w:p w14:paraId="329A427A" w14:textId="77777777" w:rsidR="00FE5038" w:rsidRPr="001001ED" w:rsidRDefault="00FE5038" w:rsidP="001001ED">
      <w:pPr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</w:p>
    <w:p w14:paraId="62F5217A" w14:textId="77777777" w:rsidR="00FE5038" w:rsidRPr="001001ED" w:rsidRDefault="00FE5038" w:rsidP="001001ED">
      <w:pPr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5. Подведение итогов и определение победителей Конкурса</w:t>
      </w:r>
    </w:p>
    <w:p w14:paraId="71123962" w14:textId="77777777" w:rsidR="00FE5038" w:rsidRPr="001001ED" w:rsidRDefault="00FE5038" w:rsidP="001001ED">
      <w:pPr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br/>
        <w:t xml:space="preserve">5.1. Жюри Конкурса в установленные сроки проводит экспертизу представленных на Конкурс материалов и определяет победителей. </w:t>
      </w:r>
    </w:p>
    <w:p w14:paraId="63304C4D" w14:textId="77777777" w:rsidR="00FE5038" w:rsidRPr="001001ED" w:rsidRDefault="00FE5038" w:rsidP="001001ED">
      <w:pPr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5.2. В ходе проведения Конкурса оргкомитет республиканской организации Профсоюза может вносить изменения в порядок определения количества победителей Конкурса и их награждения.</w:t>
      </w:r>
    </w:p>
    <w:p w14:paraId="4EEC0ECC" w14:textId="77777777" w:rsidR="00FE5038" w:rsidRPr="001001ED" w:rsidRDefault="00FE5038" w:rsidP="001001ED">
      <w:pPr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</w:p>
    <w:p w14:paraId="5100865E" w14:textId="77777777" w:rsidR="00FE5038" w:rsidRPr="001001ED" w:rsidRDefault="00FE5038" w:rsidP="001001ED">
      <w:pPr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6. Награждение участников и победителей  Конкурса</w:t>
      </w:r>
    </w:p>
    <w:p w14:paraId="1C2FB152" w14:textId="77777777" w:rsidR="00FE5038" w:rsidRPr="001001ED" w:rsidRDefault="00FE5038" w:rsidP="001001ED">
      <w:pPr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br/>
        <w:t>6.1. Все участники Конкурса награждаются Дипломами участника.</w:t>
      </w:r>
      <w:r w:rsidRPr="001001ED">
        <w:rPr>
          <w:rFonts w:ascii="Times New Roman" w:eastAsia="Times New Roman" w:hAnsi="Times New Roman"/>
          <w:color w:val="002060"/>
          <w:sz w:val="28"/>
          <w:szCs w:val="28"/>
        </w:rPr>
        <w:br/>
        <w:t>6.2. Победители награждаются Дипломом и ценными призами.</w:t>
      </w:r>
      <w:r w:rsidRPr="001001ED">
        <w:rPr>
          <w:rFonts w:ascii="Times New Roman" w:eastAsia="Times New Roman" w:hAnsi="Times New Roman"/>
          <w:color w:val="002060"/>
          <w:sz w:val="28"/>
          <w:szCs w:val="28"/>
        </w:rPr>
        <w:br/>
      </w:r>
    </w:p>
    <w:p w14:paraId="6CB26337" w14:textId="77777777" w:rsidR="00FE5038" w:rsidRPr="001001ED" w:rsidRDefault="00FE5038" w:rsidP="001001ED">
      <w:pPr>
        <w:jc w:val="both"/>
        <w:rPr>
          <w:rFonts w:ascii="Times New Roman" w:eastAsia="Times New Roman" w:hAnsi="Times New Roman"/>
          <w:b/>
          <w:bCs/>
          <w:color w:val="002060"/>
          <w:sz w:val="28"/>
          <w:szCs w:val="28"/>
        </w:rPr>
      </w:pPr>
      <w:r w:rsidRPr="001001ED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7. Финансирование Конкурса</w:t>
      </w:r>
    </w:p>
    <w:p w14:paraId="3D855393" w14:textId="374D29ED" w:rsidR="00FE5038" w:rsidRDefault="00FE5038" w:rsidP="001001ED">
      <w:pPr>
        <w:tabs>
          <w:tab w:val="left" w:pos="4395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1001ED">
        <w:rPr>
          <w:rFonts w:ascii="Times New Roman" w:eastAsia="Times New Roman" w:hAnsi="Times New Roman"/>
          <w:color w:val="002060"/>
          <w:sz w:val="28"/>
          <w:szCs w:val="28"/>
        </w:rPr>
        <w:t>7.1. Финансирование Конкурса осуществляется за счет средств республиканской организации  Профсоюза.</w:t>
      </w:r>
      <w:r w:rsidR="001001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sectPr w:rsidR="00FE5038" w:rsidSect="001001ED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205"/>
    <w:multiLevelType w:val="multilevel"/>
    <w:tmpl w:val="BECA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11131"/>
    <w:multiLevelType w:val="multilevel"/>
    <w:tmpl w:val="76BC9978"/>
    <w:lvl w:ilvl="0">
      <w:start w:val="3"/>
      <w:numFmt w:val="decimal"/>
      <w:lvlText w:val="%1."/>
      <w:lvlJc w:val="left"/>
      <w:pPr>
        <w:ind w:left="450" w:hanging="450"/>
      </w:pPr>
      <w:rPr>
        <w:rFonts w:eastAsia="TimesNewRomanPSMT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="TimesNewRomanPSMT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NewRomanPSMT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NewRomanPSMT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NewRomanPSMT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NewRomanPSMT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NewRomanPSMT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NewRomanPSMT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NewRomanPSMT" w:hint="default"/>
      </w:rPr>
    </w:lvl>
  </w:abstractNum>
  <w:abstractNum w:abstractNumId="2">
    <w:nsid w:val="1BE546F8"/>
    <w:multiLevelType w:val="multilevel"/>
    <w:tmpl w:val="2474C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eastAsia="TimesNewRomanPSMT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NewRomanPSMT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NewRomanPSMT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NewRomanPSMT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NewRomanPSMT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NewRomanPSMT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NewRomanPSMT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NewRomanPSMT" w:hint="default"/>
        <w:color w:val="auto"/>
      </w:rPr>
    </w:lvl>
  </w:abstractNum>
  <w:abstractNum w:abstractNumId="3">
    <w:nsid w:val="424A4D1D"/>
    <w:multiLevelType w:val="multilevel"/>
    <w:tmpl w:val="0F40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37180"/>
    <w:multiLevelType w:val="hybridMultilevel"/>
    <w:tmpl w:val="35545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E204EC"/>
    <w:multiLevelType w:val="hybridMultilevel"/>
    <w:tmpl w:val="45D0B82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1CC38A4">
      <w:start w:val="1"/>
      <w:numFmt w:val="decimal"/>
      <w:lvlText w:val="%2."/>
      <w:lvlJc w:val="left"/>
      <w:pPr>
        <w:ind w:left="162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7746EEA"/>
    <w:multiLevelType w:val="hybridMultilevel"/>
    <w:tmpl w:val="593E2A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154990"/>
    <w:multiLevelType w:val="hybridMultilevel"/>
    <w:tmpl w:val="F8465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E390E">
      <w:start w:val="1"/>
      <w:numFmt w:val="decimal"/>
      <w:lvlText w:val="%2."/>
      <w:lvlJc w:val="left"/>
      <w:pPr>
        <w:tabs>
          <w:tab w:val="num" w:pos="2040"/>
        </w:tabs>
        <w:ind w:left="2040" w:hanging="9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A72BB0"/>
    <w:multiLevelType w:val="hybridMultilevel"/>
    <w:tmpl w:val="78D03A8A"/>
    <w:lvl w:ilvl="0" w:tplc="041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AB"/>
    <w:rsid w:val="001001ED"/>
    <w:rsid w:val="004A72E6"/>
    <w:rsid w:val="005C72AB"/>
    <w:rsid w:val="00626E4B"/>
    <w:rsid w:val="00847EBB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B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5C72A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47EBB"/>
    <w:pPr>
      <w:ind w:firstLine="539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47EB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5C72A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47EBB"/>
    <w:pPr>
      <w:ind w:firstLine="539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47EB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54D2-3398-4F9B-B995-9933E8C7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rus03</dc:creator>
  <cp:keywords/>
  <dc:description/>
  <cp:lastModifiedBy>orgotdel</cp:lastModifiedBy>
  <cp:revision>5</cp:revision>
  <cp:lastPrinted>2021-03-16T01:44:00Z</cp:lastPrinted>
  <dcterms:created xsi:type="dcterms:W3CDTF">2021-03-15T06:29:00Z</dcterms:created>
  <dcterms:modified xsi:type="dcterms:W3CDTF">2021-03-17T06:28:00Z</dcterms:modified>
</cp:coreProperties>
</file>