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F1A85">
      <w:pPr>
        <w:pStyle w:val="printredaction-line"/>
        <w:spacing w:line="276" w:lineRule="auto"/>
        <w:divId w:val="1149907846"/>
      </w:pPr>
      <w:r>
        <w:t>Актуально на 12 апр 2024</w:t>
      </w:r>
    </w:p>
    <w:p w:rsidR="00000000" w:rsidRDefault="002F1A85">
      <w:pPr>
        <w:pStyle w:val="2"/>
        <w:spacing w:line="276" w:lineRule="auto"/>
        <w:divId w:val="1149907846"/>
        <w:rPr>
          <w:rFonts w:eastAsia="Times New Roman"/>
        </w:rPr>
      </w:pPr>
      <w:r>
        <w:rPr>
          <w:rFonts w:eastAsia="Times New Roman"/>
        </w:rPr>
        <w:t>Размеры авансовых платежей для закупок федеральных учреждений в 2024 году</w:t>
      </w:r>
    </w:p>
    <w:p w:rsidR="00000000" w:rsidRDefault="002F1A85">
      <w:pPr>
        <w:pStyle w:val="a3"/>
        <w:spacing w:line="276" w:lineRule="auto"/>
        <w:divId w:val="23335182"/>
      </w:pPr>
      <w:r>
        <w:t>Авансовые платежи по контрактам для федеральных ПБС, бюджетных и автономных учреждений ограничены. Смотрите в таблице, в каких размерах учреждение вправе установить аванс и когда можно оплатить 100 процентов.</w:t>
      </w:r>
    </w:p>
    <w:p w:rsidR="00000000" w:rsidRDefault="002F1A85">
      <w:pPr>
        <w:pStyle w:val="a3"/>
        <w:spacing w:line="276" w:lineRule="auto"/>
        <w:divId w:val="1963925161"/>
      </w:pPr>
      <w:r>
        <w:t>В контрактах с поэтапным исполнением не предусм</w:t>
      </w:r>
      <w:r>
        <w:t xml:space="preserve">атривайте аванс на последнем этапе. Исключение – контракты, размер </w:t>
      </w:r>
      <w:hyperlink r:id="rId4" w:anchor="/document/16/145170/kgd2/" w:history="1">
        <w:r>
          <w:rPr>
            <w:rStyle w:val="a4"/>
          </w:rPr>
          <w:t>аванса по которым – 100 процентов</w:t>
        </w:r>
      </w:hyperlink>
      <w:r>
        <w:t xml:space="preserve">, а также контракты с казначейским сопровождением </w:t>
      </w:r>
      <w:r>
        <w:t>(</w:t>
      </w:r>
      <w:hyperlink r:id="rId5" w:anchor="/document/99/555941896/XA00MA02N6/" w:tooltip="19. Получатели средств федерального бюджета при заключении договоров (государственных контрактов), указанных в подпунктах а и б пункта 18 настоящего Положения, предусматривающих отдельные..." w:history="1">
        <w:r>
          <w:rPr>
            <w:rStyle w:val="a4"/>
          </w:rPr>
          <w:t>п. 19</w:t>
        </w:r>
      </w:hyperlink>
      <w:r>
        <w:t xml:space="preserve"> положения,</w:t>
      </w:r>
      <w:r>
        <w:t xml:space="preserve"> утв.</w:t>
      </w:r>
      <w:r>
        <w:t xml:space="preserve"> </w:t>
      </w:r>
      <w:hyperlink r:id="rId6" w:anchor="/document/99/555941896/" w:tooltip="" w:history="1">
        <w:r>
          <w:rPr>
            <w:rStyle w:val="a4"/>
          </w:rPr>
          <w:t>постановлением Правительства от 09.12.2017 № 1496</w:t>
        </w:r>
      </w:hyperlink>
      <w:r>
        <w:t>)</w:t>
      </w:r>
      <w:r>
        <w:t>.</w:t>
      </w:r>
    </w:p>
    <w:tbl>
      <w:tblPr>
        <w:tblW w:w="5000" w:type="pct"/>
        <w:tblCellMar>
          <w:top w:w="75" w:type="dxa"/>
          <w:left w:w="150" w:type="dxa"/>
          <w:bottom w:w="75" w:type="dxa"/>
          <w:right w:w="150" w:type="dxa"/>
        </w:tblCellMar>
        <w:tblLook w:val="04A0"/>
      </w:tblPr>
      <w:tblGrid>
        <w:gridCol w:w="2132"/>
        <w:gridCol w:w="4383"/>
        <w:gridCol w:w="3140"/>
      </w:tblGrid>
      <w:tr w:rsidR="00000000">
        <w:trPr>
          <w:divId w:val="1285892775"/>
          <w:tblHeader/>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pStyle w:val="a3"/>
              <w:jc w:val="center"/>
              <w:rPr>
                <w:b/>
                <w:bCs/>
              </w:rPr>
            </w:pPr>
            <w:r>
              <w:rPr>
                <w:b/>
                <w:bCs/>
              </w:rPr>
              <w:t>Размер авансовых платежей</w:t>
            </w:r>
            <w:hyperlink r:id="rId7" w:anchor="/document/16/145170/r71/" w:history="1">
              <w:r>
                <w:rPr>
                  <w:rStyle w:val="a4"/>
                  <w:b/>
                  <w:bCs/>
                </w:rPr>
                <w:t>*</w:t>
              </w:r>
            </w:hyperlink>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pStyle w:val="a3"/>
              <w:jc w:val="center"/>
              <w:rPr>
                <w:b/>
                <w:bCs/>
              </w:rPr>
            </w:pPr>
            <w:r>
              <w:rPr>
                <w:b/>
                <w:bCs/>
              </w:rPr>
              <w:t>Предмет и условия контр</w:t>
            </w:r>
            <w:r>
              <w:rPr>
                <w:b/>
                <w:bCs/>
              </w:rPr>
              <w:t>акт</w:t>
            </w:r>
            <w:r>
              <w:rPr>
                <w:b/>
                <w:bCs/>
              </w:rPr>
              <w:t>а</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pStyle w:val="a3"/>
              <w:jc w:val="center"/>
              <w:rPr>
                <w:b/>
                <w:bCs/>
              </w:rPr>
            </w:pPr>
            <w:r>
              <w:rPr>
                <w:b/>
                <w:bCs/>
              </w:rPr>
              <w:t>Основани</w:t>
            </w:r>
            <w:r>
              <w:rPr>
                <w:b/>
                <w:bCs/>
              </w:rPr>
              <w:t>е</w:t>
            </w:r>
          </w:p>
        </w:tc>
      </w:tr>
      <w:tr w:rsidR="00000000">
        <w:trPr>
          <w:divId w:val="1285892775"/>
        </w:trPr>
        <w:tc>
          <w:tcPr>
            <w:tcW w:w="0" w:type="auto"/>
            <w:gridSpan w:val="3"/>
            <w:tcBorders>
              <w:top w:val="single" w:sz="6" w:space="0" w:color="000000"/>
              <w:left w:val="single" w:sz="6" w:space="0" w:color="000000"/>
              <w:bottom w:val="single" w:sz="6" w:space="0" w:color="000000"/>
              <w:right w:val="single" w:sz="6" w:space="0" w:color="000000"/>
            </w:tcBorders>
            <w:hideMark/>
          </w:tcPr>
          <w:p w:rsidR="00000000" w:rsidRDefault="002F1A85">
            <w:pPr>
              <w:pStyle w:val="2"/>
              <w:rPr>
                <w:rFonts w:eastAsia="Times New Roman"/>
              </w:rPr>
            </w:pPr>
            <w:r>
              <w:rPr>
                <w:rFonts w:eastAsia="Times New Roman"/>
              </w:rPr>
              <w:t>Запрет на аван</w:t>
            </w:r>
            <w:r>
              <w:rPr>
                <w:rFonts w:eastAsia="Times New Roman"/>
              </w:rPr>
              <w:t>с</w:t>
            </w:r>
          </w:p>
        </w:tc>
      </w:tr>
      <w:tr w:rsidR="00000000">
        <w:trPr>
          <w:divId w:val="1285892775"/>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rPr>
                <w:rFonts w:eastAsia="Times New Roman"/>
              </w:rPr>
            </w:pPr>
            <w:r>
              <w:rPr>
                <w:rFonts w:eastAsia="Times New Roman"/>
              </w:rPr>
              <w:t>Запрет на авансирование</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pStyle w:val="a3"/>
            </w:pPr>
            <w:r>
              <w:t>Поставка товаров и оказание услуг из</w:t>
            </w:r>
            <w:r>
              <w:t xml:space="preserve"> </w:t>
            </w:r>
            <w:hyperlink r:id="rId8" w:anchor="/document/99/556305583/ZAP2D623IE/" w:tgtFrame="_self" w:tooltip="" w:history="1">
              <w:r>
                <w:rPr>
                  <w:rStyle w:val="a4"/>
                </w:rPr>
                <w:t>перечня</w:t>
              </w:r>
            </w:hyperlink>
            <w:r>
              <w:t>. Это продукция массового потребления: белье постельное и столовое, ноутбуки и планшеты, автомобили легковые, средства автотранспортные грузовые, ручки и карандаши. А также услуги: по ремонту компьютеров и периферийного оборудования, ремонту мебели и т. д</w:t>
            </w:r>
            <w:r>
              <w:t>.</w:t>
            </w:r>
          </w:p>
          <w:p w:rsidR="00000000" w:rsidRDefault="002F1A85">
            <w:pPr>
              <w:pStyle w:val="a3"/>
            </w:pPr>
            <w:r>
              <w:t>Запрет действует на весь контракт даже в том случае, если, кроме товаров и услуг из перечня, в него включили другие товары (услуги</w:t>
            </w:r>
            <w:r>
              <w:t>)</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pStyle w:val="a3"/>
            </w:pPr>
            <w:hyperlink r:id="rId9" w:anchor="/document/99/555941896/XA00MAI2N9/" w:tooltip="20. Получатели средств федерального бюджета не предусматривают авансовые платежи при заключении договоров (государственных контрактов) о поставке отдельных товаров, об оказании отдельных..." w:history="1">
              <w:r>
                <w:rPr>
                  <w:rStyle w:val="a4"/>
                </w:rPr>
                <w:t>П. 20</w:t>
              </w:r>
            </w:hyperlink>
            <w:r>
              <w:t xml:space="preserve"> положения, утвержденного</w:t>
            </w:r>
            <w:r>
              <w:t xml:space="preserve"> </w:t>
            </w:r>
            <w:hyperlink r:id="rId10" w:anchor="/document/99/555941896/" w:tooltip="" w:history="1">
              <w:r>
                <w:rPr>
                  <w:rStyle w:val="a4"/>
                </w:rPr>
                <w:t>постановлением Правительства от 09.12.2017 № 1496</w:t>
              </w:r>
            </w:hyperlink>
            <w:r>
              <w:t>,</w:t>
            </w:r>
            <w:r>
              <w:t> </w:t>
            </w:r>
            <w:hyperlink r:id="rId11" w:anchor="/document/99/902213684/XA00MDC2N6/" w:tooltip="16.1. Бюджет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w:history="1">
              <w:r>
                <w:rPr>
                  <w:rStyle w:val="a4"/>
                </w:rPr>
                <w:t>п. 16.1 ст. 30 Закона от 08.05.2010 № 83-ФЗ</w:t>
              </w:r>
            </w:hyperlink>
            <w:r>
              <w:t>,</w:t>
            </w:r>
            <w:r>
              <w:t xml:space="preserve"> </w:t>
            </w:r>
            <w:hyperlink r:id="rId12" w:anchor="/document/99/902012568/XA00M822MH/" w:tooltip="3.11-1.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w:history="1">
              <w:r>
                <w:rPr>
                  <w:rStyle w:val="a4"/>
                </w:rPr>
                <w:t>п. 3.11-1 ст. 2 Закона от 03.11.2006 № 174-ФЗ</w:t>
              </w:r>
            </w:hyperlink>
          </w:p>
          <w:p w:rsidR="00000000" w:rsidRDefault="002F1A85">
            <w:pPr>
              <w:pStyle w:val="a3"/>
            </w:pPr>
            <w:hyperlink r:id="rId13" w:anchor="/document/99/556305583/ZAP2D9K3IF/" w:tooltip="Перечень товаров и услуг, в отношении которых при заключении договоров (государственных контрактов) о поставке товаров (об оказании услуг) получателями средств федерального бюджета..." w:history="1">
              <w:r>
                <w:rPr>
                  <w:rStyle w:val="a4"/>
                </w:rPr>
                <w:t>Перечень</w:t>
              </w:r>
            </w:hyperlink>
            <w:r>
              <w:t xml:space="preserve"> утвержден</w:t>
            </w:r>
            <w:r>
              <w:t xml:space="preserve"> </w:t>
            </w:r>
            <w:hyperlink r:id="rId14" w:anchor="/document/99/556305583/" w:tooltip="Распоряжение Правительства РФ от 16.01.2018 № 21-р" w:history="1">
              <w:r>
                <w:rPr>
                  <w:rStyle w:val="a4"/>
                </w:rPr>
                <w:t>распоряжением Правительства от 16.01.2018 № 21-р</w:t>
              </w:r>
            </w:hyperlink>
          </w:p>
        </w:tc>
      </w:tr>
      <w:tr w:rsidR="00000000">
        <w:trPr>
          <w:divId w:val="1285892775"/>
        </w:trPr>
        <w:tc>
          <w:tcPr>
            <w:tcW w:w="0" w:type="auto"/>
            <w:gridSpan w:val="3"/>
            <w:tcBorders>
              <w:top w:val="single" w:sz="6" w:space="0" w:color="000000"/>
              <w:left w:val="single" w:sz="6" w:space="0" w:color="000000"/>
              <w:bottom w:val="single" w:sz="6" w:space="0" w:color="000000"/>
              <w:right w:val="single" w:sz="6" w:space="0" w:color="000000"/>
            </w:tcBorders>
            <w:hideMark/>
          </w:tcPr>
          <w:p w:rsidR="00000000" w:rsidRDefault="002F1A85">
            <w:pPr>
              <w:pStyle w:val="2"/>
              <w:rPr>
                <w:rFonts w:eastAsia="Times New Roman"/>
              </w:rPr>
            </w:pPr>
            <w:r>
              <w:rPr>
                <w:rFonts w:eastAsia="Times New Roman"/>
              </w:rPr>
              <w:t>Аванс до 30 проценто</w:t>
            </w:r>
            <w:r>
              <w:rPr>
                <w:rFonts w:eastAsia="Times New Roman"/>
              </w:rPr>
              <w:t>в</w:t>
            </w:r>
          </w:p>
        </w:tc>
      </w:tr>
      <w:tr w:rsidR="00000000">
        <w:trPr>
          <w:divId w:val="1285892775"/>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rPr>
                <w:rFonts w:eastAsia="Times New Roman"/>
              </w:rPr>
            </w:pPr>
            <w:r>
              <w:rPr>
                <w:rFonts w:eastAsia="Times New Roman"/>
              </w:rPr>
              <w:t>В размере до 30 процентов суммы контракта, но не более ЛБ</w:t>
            </w:r>
            <w:r>
              <w:rPr>
                <w:rFonts w:eastAsia="Times New Roman"/>
              </w:rPr>
              <w:t>О</w:t>
            </w:r>
            <w:hyperlink r:id="rId15" w:anchor="/document/16/145170/dfaspgolvl/" w:tgtFrame="_self" w:tooltip="" w:history="1">
              <w:r>
                <w:rPr>
                  <w:rStyle w:val="a4"/>
                  <w:rFonts w:eastAsia="Times New Roman"/>
                </w:rPr>
                <w:t>**</w:t>
              </w:r>
            </w:hyperlink>
          </w:p>
        </w:tc>
        <w:tc>
          <w:tcPr>
            <w:tcW w:w="0" w:type="auto"/>
            <w:hideMark/>
          </w:tcPr>
          <w:p w:rsidR="00000000" w:rsidRDefault="002F1A85">
            <w:pPr>
              <w:pStyle w:val="a3"/>
            </w:pPr>
            <w:r>
              <w:t>Поставка товаров, выполнение работ, оказание услуг, в том числе работ по строительству, реконструкции и капитальному ремонту объектов капстроительства госсобственности России.</w:t>
            </w:r>
            <w:r>
              <w:t> </w:t>
            </w:r>
          </w:p>
          <w:p w:rsidR="00000000" w:rsidRDefault="002F1A85">
            <w:pPr>
              <w:pStyle w:val="a3"/>
            </w:pPr>
            <w:r>
              <w:t>Если стоимость контракта на строительство, реконструкцию, капремонт госсобствен</w:t>
            </w:r>
            <w:r>
              <w:t xml:space="preserve">ности России больше 600 млн руб., заказчик вправе </w:t>
            </w:r>
            <w:r>
              <w:lastRenderedPageBreak/>
              <w:t>включить в контракт условие о повторной предоплате, если подрядчик выполнит работы в объеме уже выплаченного аванса. Общая сумма авансирования не должна превышать 70 процентов суммы контракта</w:t>
            </w:r>
            <w:r>
              <w:t>.</w:t>
            </w:r>
          </w:p>
          <w:p w:rsidR="00000000" w:rsidRDefault="002F1A85">
            <w:pPr>
              <w:pStyle w:val="a3"/>
            </w:pPr>
            <w:r>
              <w:t>В контракте п</w:t>
            </w:r>
            <w:r>
              <w:t>ропишите условие, что размер последующих платежей рассчитывается как разница между стоимостью фактически поставленных товаров, выполненных работ, оказанных услуг и суммой, рассчитанной как произведение размера предусмотренного контрактом авансового платежа</w:t>
            </w:r>
            <w:r>
              <w:t xml:space="preserve"> в процентном выражении и стоимости фактически поставленных товаров, выполненных работ, оказанных услуг.</w:t>
            </w:r>
            <w:r>
              <w:t>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rPr>
                <w:rFonts w:eastAsia="Times New Roman"/>
              </w:rPr>
            </w:pPr>
            <w:r>
              <w:rPr>
                <w:rFonts w:eastAsia="Times New Roman"/>
              </w:rPr>
              <w:lastRenderedPageBreak/>
              <w:t xml:space="preserve">Подп. </w:t>
            </w:r>
            <w:r>
              <w:rPr>
                <w:rFonts w:eastAsia="Times New Roman"/>
              </w:rPr>
              <w:t>«</w:t>
            </w:r>
            <w:hyperlink r:id="rId16" w:anchor="/document/99/555941896/XA00M7S2MM/" w:tgtFrame="_self" w:tooltip="а) при включении в договор (государствен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в случае, если договор (государствен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государственным контрактом) авансового платежа в процентном выражении и стоимости фактически поставленных товаров, выполненных работ, оказанных услуг (в случае, если договор (государственный контракт) содержит этапы его исполнения, сроки выполнения которых полностью или частично совпадают);" w:history="1">
              <w:r>
                <w:rPr>
                  <w:rStyle w:val="a4"/>
                  <w:rFonts w:eastAsia="Times New Roman"/>
                </w:rPr>
                <w:t>а</w:t>
              </w:r>
            </w:hyperlink>
            <w:r>
              <w:rPr>
                <w:rFonts w:eastAsia="Times New Roman"/>
              </w:rPr>
              <w:t xml:space="preserve">», </w:t>
            </w:r>
            <w:r>
              <w:rPr>
                <w:rFonts w:eastAsia="Times New Roman"/>
              </w:rPr>
              <w:t>«</w:t>
            </w:r>
            <w:hyperlink r:id="rId17" w:anchor="/document/99/555941896/XA00M8E2MP/" w:tgtFrame="_self" w:tooltip="б) в размере, не превышающем 30 процентов суммы договора (государственного контракта) о выполнении работ по строительству, реконструкции и капитальному ремонту объектов капитального строительства государственной собственности Российской Федерации, заключаемого на сумму, превышающую 600 млн. рублей, при включении в договор (государственный контракт)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в соответствии с порядком санкционирования оплаты денежных обязательств, установленным Министерством финансов Российской Федерации (с ограничением общей суммы авансирования не более 70 процентов суммы договора (государственного контракта);" w:history="1">
              <w:r>
                <w:rPr>
                  <w:rStyle w:val="a4"/>
                  <w:rFonts w:eastAsia="Times New Roman"/>
                </w:rPr>
                <w:t>б</w:t>
              </w:r>
            </w:hyperlink>
            <w:r>
              <w:rPr>
                <w:rFonts w:eastAsia="Times New Roman"/>
              </w:rPr>
              <w:t>» п. 1</w:t>
            </w:r>
            <w:r>
              <w:rPr>
                <w:rFonts w:eastAsia="Times New Roman"/>
              </w:rPr>
              <w:t>8 положения, утвержденного</w:t>
            </w:r>
            <w:r>
              <w:rPr>
                <w:rFonts w:eastAsia="Times New Roman"/>
              </w:rPr>
              <w:t xml:space="preserve"> </w:t>
            </w:r>
            <w:hyperlink r:id="rId18" w:anchor="/document/99/555941896/" w:tooltip="" w:history="1">
              <w:r>
                <w:rPr>
                  <w:rStyle w:val="a4"/>
                  <w:rFonts w:eastAsia="Times New Roman"/>
                </w:rPr>
                <w:t>постановлением Правительства от 09.12.2017 № 1496</w:t>
              </w:r>
            </w:hyperlink>
            <w:r>
              <w:rPr>
                <w:rFonts w:eastAsia="Times New Roman"/>
              </w:rPr>
              <w:t>,</w:t>
            </w:r>
            <w:r>
              <w:rPr>
                <w:rFonts w:eastAsia="Times New Roman"/>
              </w:rPr>
              <w:t xml:space="preserve"> </w:t>
            </w:r>
            <w:hyperlink r:id="rId19" w:anchor="/document/99/902213684/XA00MDC2N6/" w:tooltip="16.1. Бюджет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w:history="1">
              <w:r>
                <w:rPr>
                  <w:rStyle w:val="a4"/>
                  <w:rFonts w:eastAsia="Times New Roman"/>
                </w:rPr>
                <w:t>п. 16.1 ст. 30 Закона от 08.05.2010 № 83-ФЗ</w:t>
              </w:r>
            </w:hyperlink>
            <w:r>
              <w:rPr>
                <w:rFonts w:eastAsia="Times New Roman"/>
              </w:rPr>
              <w:t>,</w:t>
            </w:r>
            <w:r>
              <w:rPr>
                <w:rFonts w:eastAsia="Times New Roman"/>
              </w:rPr>
              <w:t xml:space="preserve"> </w:t>
            </w:r>
            <w:hyperlink r:id="rId20" w:anchor="/document/99/902012568/XA00M822MH/" w:tooltip="3.11-1.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w:history="1">
              <w:r>
                <w:rPr>
                  <w:rStyle w:val="a4"/>
                  <w:rFonts w:eastAsia="Times New Roman"/>
                </w:rPr>
                <w:t xml:space="preserve">п. 3.11-1 ст. 2 Закона от </w:t>
              </w:r>
              <w:r>
                <w:rPr>
                  <w:rStyle w:val="a4"/>
                  <w:rFonts w:eastAsia="Times New Roman"/>
                </w:rPr>
                <w:t>03.11.2006 № 174-ФЗ</w:t>
              </w:r>
            </w:hyperlink>
          </w:p>
        </w:tc>
      </w:tr>
      <w:tr w:rsidR="00000000">
        <w:trPr>
          <w:divId w:val="1285892775"/>
        </w:trPr>
        <w:tc>
          <w:tcPr>
            <w:tcW w:w="0" w:type="auto"/>
            <w:gridSpan w:val="3"/>
            <w:tcBorders>
              <w:top w:val="single" w:sz="6" w:space="0" w:color="000000"/>
              <w:left w:val="single" w:sz="6" w:space="0" w:color="000000"/>
              <w:bottom w:val="single" w:sz="6" w:space="0" w:color="000000"/>
              <w:right w:val="single" w:sz="6" w:space="0" w:color="000000"/>
            </w:tcBorders>
            <w:hideMark/>
          </w:tcPr>
          <w:p w:rsidR="00000000" w:rsidRDefault="002F1A85">
            <w:pPr>
              <w:pStyle w:val="2"/>
              <w:rPr>
                <w:rFonts w:eastAsia="Times New Roman"/>
              </w:rPr>
            </w:pPr>
            <w:r>
              <w:rPr>
                <w:rFonts w:eastAsia="Times New Roman"/>
              </w:rPr>
              <w:lastRenderedPageBreak/>
              <w:t>Аванс до 50 процентов</w:t>
            </w:r>
            <w:r>
              <w:rPr>
                <w:rFonts w:eastAsia="Times New Roman"/>
              </w:rPr>
              <w:t> </w:t>
            </w:r>
          </w:p>
        </w:tc>
      </w:tr>
      <w:tr w:rsidR="00000000">
        <w:trPr>
          <w:divId w:val="1285892775"/>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rPr>
                <w:rFonts w:eastAsia="Times New Roman"/>
              </w:rPr>
            </w:pPr>
            <w:r>
              <w:rPr>
                <w:rFonts w:eastAsia="Times New Roman"/>
              </w:rPr>
              <w:t>В размере от 30 до 50 процентов суммы контракта, но не более ЛБО</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pStyle w:val="a3"/>
            </w:pPr>
            <w:r>
              <w:t>Поставка товара, выполнение работ, оказание услуг, средства на финансирование которых подлежат казначейскому сопровождению</w:t>
            </w:r>
            <w:r>
              <w:t>.</w:t>
            </w:r>
          </w:p>
          <w:p w:rsidR="00000000" w:rsidRDefault="002F1A85">
            <w:pPr>
              <w:pStyle w:val="a3"/>
            </w:pPr>
            <w:r>
              <w:t>Если контракт</w:t>
            </w:r>
            <w:r>
              <w:t xml:space="preserve"> исполняется в 2024 году и последующих годах, а ЛБО недостаточно для выплаты аванса в текущем году, в контракт включите условие: «Выплата части аванса в оставшемся размере производится не позднее 1 февраля очередного финансового года без подтверждения пост</w:t>
            </w:r>
            <w:r>
              <w:t>авки товаров, выполнения работ, оказания услуг в объеме ранее выплаченного авансового платежа</w:t>
            </w:r>
            <w:r>
              <w:t>»</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rPr>
                <w:rFonts w:eastAsia="Times New Roman"/>
              </w:rPr>
            </w:pPr>
            <w:hyperlink r:id="rId21" w:anchor="/document/97/514595/" w:tgtFrame="_self" w:tooltip="" w:history="1">
              <w:r>
                <w:rPr>
                  <w:rStyle w:val="a4"/>
                  <w:rFonts w:eastAsia="Times New Roman"/>
                </w:rPr>
                <w:t>Постановление от 23.01.2024 № 50</w:t>
              </w:r>
            </w:hyperlink>
          </w:p>
        </w:tc>
      </w:tr>
      <w:tr w:rsidR="00000000">
        <w:trPr>
          <w:divId w:val="1285892775"/>
        </w:trPr>
        <w:tc>
          <w:tcPr>
            <w:tcW w:w="0" w:type="auto"/>
            <w:gridSpan w:val="3"/>
            <w:tcBorders>
              <w:top w:val="single" w:sz="6" w:space="0" w:color="000000"/>
              <w:left w:val="single" w:sz="6" w:space="0" w:color="000000"/>
              <w:bottom w:val="single" w:sz="6" w:space="0" w:color="000000"/>
              <w:right w:val="single" w:sz="6" w:space="0" w:color="000000"/>
            </w:tcBorders>
            <w:hideMark/>
          </w:tcPr>
          <w:p w:rsidR="00000000" w:rsidRDefault="002F1A85">
            <w:pPr>
              <w:pStyle w:val="2"/>
              <w:rPr>
                <w:rFonts w:eastAsia="Times New Roman"/>
              </w:rPr>
            </w:pPr>
            <w:r>
              <w:rPr>
                <w:rFonts w:eastAsia="Times New Roman"/>
              </w:rPr>
              <w:t>Аванс до 80 проценто</w:t>
            </w:r>
            <w:r>
              <w:rPr>
                <w:rFonts w:eastAsia="Times New Roman"/>
              </w:rPr>
              <w:t>в</w:t>
            </w:r>
          </w:p>
        </w:tc>
      </w:tr>
      <w:tr w:rsidR="00000000">
        <w:trPr>
          <w:divId w:val="1285892775"/>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rPr>
                <w:rFonts w:eastAsia="Times New Roman"/>
              </w:rPr>
            </w:pPr>
            <w:r>
              <w:rPr>
                <w:rFonts w:eastAsia="Times New Roman"/>
              </w:rPr>
              <w:t>В размере до 80 процентов суммы контракта, но не более ЛБ</w:t>
            </w:r>
            <w:r>
              <w:rPr>
                <w:rFonts w:eastAsia="Times New Roman"/>
              </w:rPr>
              <w:t>О</w:t>
            </w:r>
            <w:hyperlink r:id="rId22" w:anchor="/document/16/145170/dfaspgolvl/" w:tgtFrame="_self" w:tooltip="" w:history="1">
              <w:r>
                <w:rPr>
                  <w:rStyle w:val="a4"/>
                  <w:rFonts w:eastAsia="Times New Roman"/>
                </w:rPr>
                <w:t>**</w:t>
              </w:r>
            </w:hyperlink>
          </w:p>
        </w:tc>
        <w:tc>
          <w:tcPr>
            <w:tcW w:w="0" w:type="auto"/>
            <w:hideMark/>
          </w:tcPr>
          <w:p w:rsidR="00000000" w:rsidRDefault="002F1A85">
            <w:pPr>
              <w:pStyle w:val="a3"/>
            </w:pPr>
            <w:r>
              <w:t>Поставка товаров из</w:t>
            </w:r>
            <w:r>
              <w:t xml:space="preserve"> </w:t>
            </w:r>
            <w:hyperlink r:id="rId23" w:anchor="/document/99/1300421088/XA00LVA2M9/" w:tgtFrame="_self" w:tooltip="Перечень промышленных товаров для государственных и муниципальных нужд, а также для нужд обороны страны и безопасности государства, в отношении которых при заключении в 2022-2024 годах договоров (государственных контрактов) предусматриваются авансовые платежи в размере не менее 80 процентов цены договора (государственного контракта), но не более лимитов бюджетных обязательств, доведенных до главных распорядителей средств федерального бюджета как получателей средств федерального бюджета и подведомственных им получателей средств федерального бюджета в установленном порядке на указанные цели на соответствующий финансовый год" w:history="1">
              <w:r>
                <w:rPr>
                  <w:rStyle w:val="a4"/>
                </w:rPr>
                <w:t>перечня</w:t>
              </w:r>
            </w:hyperlink>
            <w:r>
              <w:t>. Это промышленные товары, товары для нужд обороны страны и безопасности государства: инструменты, станки для обрабо</w:t>
            </w:r>
            <w:r>
              <w:t>тки металла, дерева, камня и т. д. Условие – при закупке установили запрет на допуск иностранных товаров</w:t>
            </w:r>
            <w:r>
              <w:t>.</w:t>
            </w:r>
          </w:p>
          <w:p w:rsidR="00000000" w:rsidRDefault="002F1A85">
            <w:pPr>
              <w:pStyle w:val="a3"/>
            </w:pPr>
            <w:r>
              <w:lastRenderedPageBreak/>
              <w:t>Правило действует для контрактов, которые заключили в 2022–2024 года</w:t>
            </w:r>
            <w:r>
              <w:t>х</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pStyle w:val="a3"/>
            </w:pPr>
            <w:hyperlink r:id="rId24" w:anchor="/document/99/1300421088/" w:tgtFrame="_self" w:tooltip="991300421088 Постановление 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 w:history="1">
              <w:r>
                <w:rPr>
                  <w:rStyle w:val="a4"/>
                </w:rPr>
                <w:t>Постановление Правительства от 24.</w:t>
              </w:r>
              <w:r>
                <w:rPr>
                  <w:rStyle w:val="a4"/>
                </w:rPr>
                <w:t>12.2022 № 2411</w:t>
              </w:r>
            </w:hyperlink>
          </w:p>
        </w:tc>
      </w:tr>
      <w:tr w:rsidR="00000000">
        <w:trPr>
          <w:divId w:val="1285892775"/>
        </w:trPr>
        <w:tc>
          <w:tcPr>
            <w:tcW w:w="0" w:type="auto"/>
            <w:gridSpan w:val="3"/>
            <w:tcBorders>
              <w:top w:val="single" w:sz="6" w:space="0" w:color="000000"/>
              <w:left w:val="single" w:sz="6" w:space="0" w:color="000000"/>
              <w:bottom w:val="single" w:sz="6" w:space="0" w:color="000000"/>
              <w:right w:val="single" w:sz="6" w:space="0" w:color="000000"/>
            </w:tcBorders>
            <w:hideMark/>
          </w:tcPr>
          <w:p w:rsidR="00000000" w:rsidRDefault="002F1A85">
            <w:pPr>
              <w:pStyle w:val="2"/>
              <w:rPr>
                <w:rFonts w:eastAsia="Times New Roman"/>
              </w:rPr>
            </w:pPr>
            <w:r>
              <w:rPr>
                <w:rFonts w:eastAsia="Times New Roman"/>
              </w:rPr>
              <w:lastRenderedPageBreak/>
              <w:t>Аванс до 90 проценто</w:t>
            </w:r>
            <w:r>
              <w:rPr>
                <w:rFonts w:eastAsia="Times New Roman"/>
              </w:rPr>
              <w:t>в</w:t>
            </w:r>
          </w:p>
        </w:tc>
      </w:tr>
      <w:tr w:rsidR="00000000">
        <w:trPr>
          <w:divId w:val="1285892775"/>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rPr>
                <w:rFonts w:eastAsia="Times New Roman"/>
              </w:rPr>
            </w:pPr>
            <w:r>
              <w:rPr>
                <w:rFonts w:eastAsia="Times New Roman"/>
              </w:rPr>
              <w:t>В размере от 30 до 90 процентов суммы контракта, но не более ЛБО</w:t>
            </w:r>
          </w:p>
        </w:tc>
        <w:tc>
          <w:tcPr>
            <w:tcW w:w="0" w:type="auto"/>
            <w:hideMark/>
          </w:tcPr>
          <w:p w:rsidR="00000000" w:rsidRDefault="002F1A85">
            <w:pPr>
              <w:pStyle w:val="a3"/>
            </w:pPr>
            <w:r>
              <w:t>Поставка товаров, работ, услуг </w:t>
            </w:r>
            <w:r>
              <w:t>по госконтрактам с казначейским сопровождением, которые касаются объектов капстроительства в ДНР, ЛНР, Запорожской и Херсонской областя</w:t>
            </w:r>
            <w:r>
              <w:t>х</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rPr>
                <w:rFonts w:eastAsia="Times New Roman"/>
              </w:rPr>
            </w:pPr>
            <w:hyperlink r:id="rId25" w:anchor="/document/97/514595/" w:tgtFrame="_self" w:tooltip="" w:history="1">
              <w:r>
                <w:rPr>
                  <w:rStyle w:val="a4"/>
                  <w:rFonts w:eastAsia="Times New Roman"/>
                </w:rPr>
                <w:t>Постановление от 23.01.2024 № 50</w:t>
              </w:r>
            </w:hyperlink>
          </w:p>
        </w:tc>
      </w:tr>
      <w:tr w:rsidR="00000000">
        <w:trPr>
          <w:divId w:val="1285892775"/>
        </w:trPr>
        <w:tc>
          <w:tcPr>
            <w:tcW w:w="0" w:type="auto"/>
            <w:gridSpan w:val="3"/>
            <w:tcBorders>
              <w:top w:val="single" w:sz="6" w:space="0" w:color="000000"/>
              <w:left w:val="single" w:sz="6" w:space="0" w:color="000000"/>
              <w:bottom w:val="single" w:sz="6" w:space="0" w:color="000000"/>
              <w:right w:val="single" w:sz="6" w:space="0" w:color="000000"/>
            </w:tcBorders>
            <w:hideMark/>
          </w:tcPr>
          <w:p w:rsidR="00000000" w:rsidRDefault="002F1A85">
            <w:pPr>
              <w:pStyle w:val="2"/>
              <w:rPr>
                <w:rFonts w:eastAsia="Times New Roman"/>
              </w:rPr>
            </w:pPr>
            <w:r>
              <w:rPr>
                <w:rStyle w:val="a6"/>
                <w:rFonts w:eastAsia="Times New Roman"/>
                <w:b/>
                <w:bCs/>
              </w:rPr>
              <w:t>Аванс до 100 проценто</w:t>
            </w:r>
            <w:r>
              <w:rPr>
                <w:rStyle w:val="a6"/>
                <w:rFonts w:eastAsia="Times New Roman"/>
                <w:b/>
                <w:bCs/>
              </w:rPr>
              <w:t>в</w:t>
            </w:r>
          </w:p>
        </w:tc>
      </w:tr>
      <w:tr w:rsidR="00000000">
        <w:trPr>
          <w:divId w:val="1285892775"/>
        </w:trPr>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pStyle w:val="a3"/>
            </w:pPr>
            <w:r>
              <w:t>До 100 процентов суммы договора (контракта), но не более ЛБ</w:t>
            </w:r>
            <w:r>
              <w:t>О</w:t>
            </w:r>
            <w:hyperlink r:id="rId26" w:anchor="/document/16/145170/dfaspgolvl/" w:tgtFrame="_self" w:tooltip="" w:history="1">
              <w:r>
                <w:rPr>
                  <w:rStyle w:val="a4"/>
                </w:rPr>
                <w:t>**</w:t>
              </w:r>
            </w:hyperlink>
          </w:p>
          <w:p w:rsidR="00000000" w:rsidRDefault="002F1A85">
            <w:pPr>
              <w:pStyle w:val="a3"/>
            </w:pPr>
            <w:r>
              <w:t>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pStyle w:val="a3"/>
            </w:pPr>
            <w:r>
              <w:t>Услуги связ</w:t>
            </w:r>
            <w:r>
              <w:t>и</w:t>
            </w:r>
          </w:p>
          <w:p w:rsidR="00000000" w:rsidRDefault="002F1A85">
            <w:pPr>
              <w:pStyle w:val="a3"/>
            </w:pPr>
            <w:r>
              <w:t>Подписка на печатные издания, их приобретение</w:t>
            </w:r>
            <w:hyperlink r:id="rId27" w:anchor="/document/16/145170/dfasasxkea/" w:history="1">
              <w:r>
                <w:rPr>
                  <w:rStyle w:val="a4"/>
                </w:rPr>
                <w:t>***</w:t>
              </w:r>
            </w:hyperlink>
          </w:p>
          <w:p w:rsidR="00000000" w:rsidRDefault="002F1A85">
            <w:pPr>
              <w:pStyle w:val="a3"/>
            </w:pPr>
            <w:r>
              <w:t>Обучение на курсах повышения квалификации и прохождение профессиональной переподготовк</w:t>
            </w:r>
            <w:r>
              <w:t>и</w:t>
            </w:r>
          </w:p>
          <w:p w:rsidR="00000000" w:rsidRDefault="002F1A85">
            <w:pPr>
              <w:pStyle w:val="a3"/>
            </w:pPr>
            <w:r>
              <w:t>Участие в научных, методических, научно-практических и других конференция</w:t>
            </w:r>
            <w:r>
              <w:t>х</w:t>
            </w:r>
          </w:p>
          <w:p w:rsidR="00000000" w:rsidRDefault="002F1A85">
            <w:pPr>
              <w:pStyle w:val="a3"/>
            </w:pPr>
            <w:r>
              <w:t>Госэкспертиза проектной документации, в том числе проверка достоверности сметной стоимости строительства, реконструкции, капремонта объектов капитального строительства, и результатов инженерных изыскани</w:t>
            </w:r>
            <w:r>
              <w:t>й</w:t>
            </w:r>
          </w:p>
          <w:p w:rsidR="00000000" w:rsidRDefault="002F1A85">
            <w:pPr>
              <w:pStyle w:val="a3"/>
            </w:pPr>
            <w:r>
              <w:t>Приобретение авиа- и железнодорожных билетов, билето</w:t>
            </w:r>
            <w:r>
              <w:t>в на городской и пригородный транспор</w:t>
            </w:r>
            <w:r>
              <w:t>т</w:t>
            </w:r>
          </w:p>
          <w:p w:rsidR="00000000" w:rsidRDefault="002F1A85">
            <w:pPr>
              <w:pStyle w:val="a3"/>
            </w:pPr>
            <w:r>
              <w:t>Гостиничные услуги по месту командировани</w:t>
            </w:r>
            <w:r>
              <w:t>я</w:t>
            </w:r>
          </w:p>
          <w:p w:rsidR="00000000" w:rsidRDefault="002F1A85">
            <w:pPr>
              <w:pStyle w:val="a3"/>
            </w:pPr>
            <w:r>
              <w:t>Грузовые перевозки авиационным и железнодорожным транспорто</w:t>
            </w:r>
            <w:r>
              <w:t>м</w:t>
            </w:r>
          </w:p>
          <w:p w:rsidR="00000000" w:rsidRDefault="002F1A85">
            <w:pPr>
              <w:pStyle w:val="a3"/>
            </w:pPr>
            <w:r>
              <w:t>Приобретение путевок на санаторно-курортное лечени</w:t>
            </w:r>
            <w:r>
              <w:t>е</w:t>
            </w:r>
          </w:p>
          <w:p w:rsidR="00000000" w:rsidRDefault="002F1A85">
            <w:pPr>
              <w:pStyle w:val="a3"/>
            </w:pPr>
            <w:r>
              <w:t xml:space="preserve">Проведение мероприятий по тушению </w:t>
            </w:r>
            <w:r>
              <w:lastRenderedPageBreak/>
              <w:t>пожаро</w:t>
            </w:r>
            <w:r>
              <w:t>в</w:t>
            </w:r>
          </w:p>
          <w:p w:rsidR="00000000" w:rsidRDefault="002F1A85">
            <w:pPr>
              <w:pStyle w:val="a3"/>
            </w:pPr>
            <w:r>
              <w:t>Аренда индивидуальн</w:t>
            </w:r>
            <w:r>
              <w:t>ого сейфа (банковской ячейки</w:t>
            </w:r>
            <w:r>
              <w:t>)</w:t>
            </w:r>
          </w:p>
          <w:p w:rsidR="00000000" w:rsidRDefault="002F1A85">
            <w:pPr>
              <w:pStyle w:val="a3"/>
            </w:pPr>
            <w:r>
              <w:t>ОСАГ</w:t>
            </w:r>
            <w:r>
              <w:t>О</w:t>
            </w:r>
          </w:p>
          <w:p w:rsidR="00000000" w:rsidRDefault="002F1A85">
            <w:pPr>
              <w:pStyle w:val="a3"/>
            </w:pPr>
            <w:r>
              <w:t>Обязательное страхование гражданской ответственности владельца опасного объекта за причинение вреда в результате аварии на опасном объект</w:t>
            </w:r>
            <w:r>
              <w:t>е</w:t>
            </w:r>
          </w:p>
          <w:p w:rsidR="00000000" w:rsidRDefault="002F1A85">
            <w:pPr>
              <w:pStyle w:val="a3"/>
            </w:pPr>
            <w:r>
              <w:t>Контракты Минздрава с иностранными организациями на проведение лечения граждан РФ</w:t>
            </w:r>
            <w:r>
              <w:t xml:space="preserve"> за пределами территории России (в соответствии с</w:t>
            </w:r>
            <w:r>
              <w:t xml:space="preserve"> </w:t>
            </w:r>
            <w:hyperlink r:id="rId28" w:anchor="/document/99/902087925/" w:tooltip="" w:history="1">
              <w:r>
                <w:rPr>
                  <w:rStyle w:val="a4"/>
                </w:rPr>
                <w:t>постановлением Правительства от 15.02.2008 № 72</w:t>
              </w:r>
            </w:hyperlink>
            <w:r>
              <w:t>)</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2F1A85">
            <w:pPr>
              <w:pStyle w:val="a3"/>
            </w:pPr>
            <w:hyperlink r:id="rId29" w:anchor="/document/99/555941896/XA00M902MS/" w:tooltip="в) до 100 процентов суммы договора (государственного контракта) - по договорам (государственным контрактам) об оказании услуг связи, о подписке на печатные издания и об их приобретении,.." w:history="1">
              <w:r>
                <w:rPr>
                  <w:rStyle w:val="a4"/>
                </w:rPr>
                <w:t>Подп. «в» п. 18</w:t>
              </w:r>
            </w:hyperlink>
            <w:r>
              <w:t xml:space="preserve"> положения, утвержденного</w:t>
            </w:r>
            <w:r>
              <w:t xml:space="preserve"> </w:t>
            </w:r>
            <w:hyperlink r:id="rId30" w:anchor="/document/99/555941896/" w:tooltip="" w:history="1">
              <w:r>
                <w:rPr>
                  <w:rStyle w:val="a4"/>
                </w:rPr>
                <w:t>постановлением Правительства от 09.12.2017 № 1496</w:t>
              </w:r>
            </w:hyperlink>
            <w:r>
              <w:t>,</w:t>
            </w:r>
            <w:r>
              <w:t xml:space="preserve"> </w:t>
            </w:r>
            <w:hyperlink r:id="rId31" w:anchor="/document/99/902213684/XA00MDC2N6/" w:tooltip="16.1. Бюджет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w:history="1">
              <w:r>
                <w:rPr>
                  <w:rStyle w:val="a4"/>
                </w:rPr>
                <w:t>п. 16.1 ст. 30 Закона от 08.05.2010 № 83-ФЗ</w:t>
              </w:r>
            </w:hyperlink>
            <w:r>
              <w:t>,</w:t>
            </w:r>
            <w:r>
              <w:t xml:space="preserve"> </w:t>
            </w:r>
            <w:hyperlink r:id="rId32" w:anchor="/document/99/902012568/XA00M822MH/" w:tooltip="3.11-1.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w:history="1">
              <w:r>
                <w:rPr>
                  <w:rStyle w:val="a4"/>
                </w:rPr>
                <w:t>п. 3.11-1 ст. 2 Закона от 03.11.2006 № 174-ФЗ</w:t>
              </w:r>
            </w:hyperlink>
          </w:p>
        </w:tc>
      </w:tr>
    </w:tbl>
    <w:p w:rsidR="00000000" w:rsidRDefault="002F1A85">
      <w:pPr>
        <w:pStyle w:val="a3"/>
        <w:spacing w:line="276" w:lineRule="auto"/>
        <w:divId w:val="1963925161"/>
      </w:pPr>
      <w:hyperlink r:id="rId33" w:anchor="/document/16/145170/vr74/" w:history="1">
        <w:r>
          <w:rPr>
            <w:rStyle w:val="a4"/>
            <w:b/>
            <w:bCs/>
          </w:rPr>
          <w:t>*</w:t>
        </w:r>
      </w:hyperlink>
      <w:r>
        <w:rPr>
          <w:rStyle w:val="a6"/>
        </w:rPr>
        <w:t> </w:t>
      </w:r>
      <w:r>
        <w:t>После 1 декабря текущего года нельзя заключать контракты, по которым предусмотрена выплата аванса или оплата работ, услуг, со сроком исполнения свыше одного месяца. Об этом сказано в</w:t>
      </w:r>
      <w:r>
        <w:t xml:space="preserve"> </w:t>
      </w:r>
      <w:hyperlink r:id="rId34" w:anchor="/document/99/555941896/XA00MA22N7/" w:tooltip="14. Получатели средств федерального бюджета в пределах доведенных до них в установленном порядке на текущий финансовый год соответствующих лимитов бюджетных обязательств не вправе..." w:history="1">
        <w:r>
          <w:rPr>
            <w:rStyle w:val="a4"/>
          </w:rPr>
          <w:t>пункте 14</w:t>
        </w:r>
      </w:hyperlink>
      <w:r>
        <w:t xml:space="preserve"> положения, утвержденного</w:t>
      </w:r>
      <w:r>
        <w:t xml:space="preserve"> </w:t>
      </w:r>
      <w:hyperlink r:id="rId35" w:anchor="/document/99/555941896/" w:tooltip="" w:history="1">
        <w:r>
          <w:rPr>
            <w:rStyle w:val="a4"/>
          </w:rPr>
          <w:t>постановлением Правительства от 09.12.2017 № 1496</w:t>
        </w:r>
      </w:hyperlink>
      <w:r>
        <w:t>.</w:t>
      </w:r>
    </w:p>
    <w:p w:rsidR="00000000" w:rsidRDefault="002F1A85">
      <w:pPr>
        <w:pStyle w:val="a3"/>
        <w:spacing w:line="276" w:lineRule="auto"/>
        <w:divId w:val="1963925161"/>
      </w:pPr>
      <w:hyperlink r:id="rId36" w:anchor="/document/16/145170/dfaswa87n6/" w:tgtFrame="_self" w:tooltip="" w:history="1">
        <w:r>
          <w:rPr>
            <w:rStyle w:val="a4"/>
            <w:b/>
            <w:bCs/>
          </w:rPr>
          <w:t>**</w:t>
        </w:r>
      </w:hyperlink>
      <w:r>
        <w:t> Контракты свыше 100 млн руб., по которым предусмотрено авансирование, должны проходить с казначейским сопровождением. Об этом сказано в</w:t>
      </w:r>
      <w:r>
        <w:t xml:space="preserve"> </w:t>
      </w:r>
      <w:hyperlink r:id="rId37" w:anchor="/document/99/1304125289/XA00M2Q2MC/" w:tgtFrame="_self" w:tooltip="" w:history="1">
        <w:r>
          <w:rPr>
            <w:rStyle w:val="a4"/>
          </w:rPr>
          <w:t>подпункте 4</w:t>
        </w:r>
      </w:hyperlink>
      <w:r>
        <w:t> п</w:t>
      </w:r>
      <w:r>
        <w:t>ункта 2 статьи 5 Закона от 27.11.2023 № 540-ФЗ</w:t>
      </w:r>
      <w:r>
        <w:t>.</w:t>
      </w:r>
    </w:p>
    <w:p w:rsidR="00000000" w:rsidRDefault="002F1A85">
      <w:pPr>
        <w:pStyle w:val="a3"/>
        <w:spacing w:line="276" w:lineRule="auto"/>
        <w:divId w:val="1963925161"/>
      </w:pPr>
      <w:hyperlink r:id="rId38" w:anchor="/document/16/145170/vr78/" w:history="1">
        <w:r>
          <w:rPr>
            <w:rStyle w:val="a4"/>
            <w:b/>
            <w:bCs/>
          </w:rPr>
          <w:t>***</w:t>
        </w:r>
      </w:hyperlink>
      <w:r>
        <w:t xml:space="preserve"> Для санкционирования оплаты подписки на периодические печатные и электронные издания в орган Федерального казначейства достаточно пред</w:t>
      </w:r>
      <w:r>
        <w:t xml:space="preserve">ставить счет или счет-фактуру </w:t>
      </w:r>
      <w:r>
        <w:t>(</w:t>
      </w:r>
      <w:hyperlink r:id="rId39" w:anchor="/document/99/420340512/" w:tooltip="" w:history="1">
        <w:r>
          <w:rPr>
            <w:rStyle w:val="a4"/>
          </w:rPr>
          <w:t>письмо Минфина от 20.01.2016 № 02-01-11/1758</w:t>
        </w:r>
      </w:hyperlink>
      <w:r>
        <w:t>, п.</w:t>
      </w:r>
      <w:r>
        <w:t xml:space="preserve"> </w:t>
      </w:r>
      <w:hyperlink r:id="rId40" w:anchor="/document/99/573044862/ZAP299G3HH/" w:tooltip="4. Государственный контракт (договор) на поставку товаров, выполнение работ, оказание услуг для обеспечения федеральных нужд, сведения о котором подлежат включению в реестр контрактов.." w:history="1">
        <w:r>
          <w:rPr>
            <w:rStyle w:val="a4"/>
          </w:rPr>
          <w:t>4</w:t>
        </w:r>
      </w:hyperlink>
      <w:r>
        <w:t>,</w:t>
      </w:r>
      <w:r>
        <w:t xml:space="preserve"> </w:t>
      </w:r>
      <w:hyperlink r:id="rId41" w:anchor="/document/99/573044862/ZAP29CK3HI/" w:tooltip="5. Государственный контракт (договор) на поставку товаров, выполнение работ, оказание услуг, сведения о котором не подлежат включению в реестры контрактов..." w:history="1">
        <w:r>
          <w:rPr>
            <w:rStyle w:val="a4"/>
          </w:rPr>
          <w:t>5</w:t>
        </w:r>
      </w:hyperlink>
      <w:r>
        <w:t xml:space="preserve"> перечня документов, утв.</w:t>
      </w:r>
      <w:r>
        <w:t xml:space="preserve"> </w:t>
      </w:r>
      <w:hyperlink r:id="rId42" w:anchor="/document/99/573044862/" w:tooltip="" w:history="1">
        <w:r>
          <w:rPr>
            <w:rStyle w:val="a4"/>
          </w:rPr>
          <w:t>приказом Минфина от 30.10.2020 № 258н</w:t>
        </w:r>
      </w:hyperlink>
      <w:r>
        <w:t>)</w:t>
      </w:r>
      <w:r>
        <w:t>.</w:t>
      </w:r>
    </w:p>
    <w:p w:rsidR="002F1A85" w:rsidRDefault="002F1A85">
      <w:pPr>
        <w:spacing w:line="276" w:lineRule="auto"/>
        <w:divId w:val="545606788"/>
        <w:rPr>
          <w:rFonts w:ascii="Arial" w:eastAsia="Times New Roman" w:hAnsi="Arial" w:cs="Arial"/>
          <w:sz w:val="20"/>
          <w:szCs w:val="20"/>
        </w:rPr>
      </w:pPr>
      <w:r>
        <w:rPr>
          <w:rFonts w:ascii="Arial" w:eastAsia="Times New Roman" w:hAnsi="Arial" w:cs="Arial"/>
          <w:sz w:val="20"/>
          <w:szCs w:val="20"/>
        </w:rPr>
        <w:t>© Материал из Справочной системы «Госфинансы»</w:t>
      </w:r>
      <w:r>
        <w:rPr>
          <w:rFonts w:ascii="Arial" w:eastAsia="Times New Roman" w:hAnsi="Arial" w:cs="Arial"/>
          <w:sz w:val="20"/>
          <w:szCs w:val="20"/>
        </w:rPr>
        <w:br/>
        <w:t>https://gosfinansy.ru</w:t>
      </w:r>
      <w:r>
        <w:rPr>
          <w:rFonts w:ascii="Arial" w:eastAsia="Times New Roman" w:hAnsi="Arial" w:cs="Arial"/>
          <w:sz w:val="20"/>
          <w:szCs w:val="20"/>
        </w:rPr>
        <w:br/>
        <w:t>Дата копирования: 12.04.2024</w:t>
      </w:r>
    </w:p>
    <w:sectPr w:rsidR="002F1A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noPunctuationKerning/>
  <w:characterSpacingControl w:val="doNotCompress"/>
  <w:compat/>
  <w:rsids>
    <w:rsidRoot w:val="006E62D4"/>
    <w:rsid w:val="002F1A85"/>
    <w:rsid w:val="006E6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customStyle="1" w:styleId="doc-tooltip">
    <w:name w:val="doc-tooltip"/>
    <w:basedOn w:val="a"/>
    <w:pPr>
      <w:spacing w:before="100" w:beforeAutospacing="1" w:after="100" w:afterAutospacing="1"/>
    </w:pPr>
    <w:rPr>
      <w:vanish/>
    </w:rPr>
  </w:style>
  <w:style w:type="paragraph" w:customStyle="1" w:styleId="doc-notes">
    <w:name w:val="doc-notes"/>
    <w:basedOn w:val="a"/>
    <w:pPr>
      <w:spacing w:before="100" w:beforeAutospacing="1" w:after="100" w:afterAutospacing="1"/>
    </w:pPr>
    <w:rPr>
      <w:vanish/>
    </w:rPr>
  </w:style>
  <w:style w:type="paragraph" w:customStyle="1" w:styleId="doc-columnsitem-title-calendar">
    <w:name w:val="doc-columns__item-title-calendar"/>
    <w:basedOn w:val="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pPr>
      <w:spacing w:before="60" w:after="180"/>
    </w:pPr>
  </w:style>
  <w:style w:type="paragraph" w:customStyle="1" w:styleId="wordtable">
    <w:name w:val="word_table"/>
    <w:basedOn w:val="a"/>
    <w:pPr>
      <w:spacing w:before="100" w:beforeAutospacing="1" w:after="100" w:afterAutospacing="1"/>
    </w:pPr>
  </w:style>
  <w:style w:type="paragraph" w:customStyle="1" w:styleId="maintitle-section">
    <w:name w:val="main__title-section"/>
    <w:basedOn w:val="a"/>
    <w:pPr>
      <w:spacing w:before="100" w:beforeAutospacing="1" w:after="100" w:afterAutospacing="1"/>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styleId="a6">
    <w:name w:val="Strong"/>
    <w:basedOn w:val="a0"/>
    <w:uiPriority w:val="22"/>
    <w:qFormat/>
    <w:rPr>
      <w:b/>
      <w:bCs/>
    </w:rPr>
  </w:style>
</w:styles>
</file>

<file path=word/webSettings.xml><?xml version="1.0" encoding="utf-8"?>
<w:webSettings xmlns:r="http://schemas.openxmlformats.org/officeDocument/2006/relationships" xmlns:w="http://schemas.openxmlformats.org/wordprocessingml/2006/main">
  <w:divs>
    <w:div w:id="545606788">
      <w:marLeft w:val="0"/>
      <w:marRight w:val="0"/>
      <w:marTop w:val="750"/>
      <w:marBottom w:val="0"/>
      <w:divBdr>
        <w:top w:val="none" w:sz="0" w:space="0" w:color="auto"/>
        <w:left w:val="none" w:sz="0" w:space="0" w:color="auto"/>
        <w:bottom w:val="none" w:sz="0" w:space="0" w:color="auto"/>
        <w:right w:val="none" w:sz="0" w:space="0" w:color="auto"/>
      </w:divBdr>
    </w:div>
    <w:div w:id="1149907846">
      <w:marLeft w:val="0"/>
      <w:marRight w:val="3"/>
      <w:marTop w:val="0"/>
      <w:marBottom w:val="0"/>
      <w:divBdr>
        <w:top w:val="none" w:sz="0" w:space="0" w:color="auto"/>
        <w:left w:val="none" w:sz="0" w:space="0" w:color="auto"/>
        <w:bottom w:val="none" w:sz="0" w:space="0" w:color="auto"/>
        <w:right w:val="none" w:sz="0" w:space="0" w:color="auto"/>
      </w:divBdr>
      <w:divsChild>
        <w:div w:id="23335182">
          <w:marLeft w:val="0"/>
          <w:marRight w:val="0"/>
          <w:marTop w:val="0"/>
          <w:marBottom w:val="0"/>
          <w:divBdr>
            <w:top w:val="none" w:sz="0" w:space="0" w:color="auto"/>
            <w:left w:val="none" w:sz="0" w:space="0" w:color="auto"/>
            <w:bottom w:val="none" w:sz="0" w:space="0" w:color="auto"/>
            <w:right w:val="none" w:sz="0" w:space="0" w:color="auto"/>
          </w:divBdr>
        </w:div>
        <w:div w:id="1963925161">
          <w:marLeft w:val="0"/>
          <w:marRight w:val="0"/>
          <w:marTop w:val="465"/>
          <w:marBottom w:val="0"/>
          <w:divBdr>
            <w:top w:val="none" w:sz="0" w:space="0" w:color="auto"/>
            <w:left w:val="none" w:sz="0" w:space="0" w:color="auto"/>
            <w:bottom w:val="none" w:sz="0" w:space="0" w:color="auto"/>
            <w:right w:val="none" w:sz="0" w:space="0" w:color="auto"/>
          </w:divBdr>
          <w:divsChild>
            <w:div w:id="1817257012">
              <w:marLeft w:val="0"/>
              <w:marRight w:val="0"/>
              <w:marTop w:val="0"/>
              <w:marBottom w:val="0"/>
              <w:divBdr>
                <w:top w:val="none" w:sz="0" w:space="0" w:color="auto"/>
                <w:left w:val="none" w:sz="0" w:space="0" w:color="auto"/>
                <w:bottom w:val="none" w:sz="0" w:space="0" w:color="auto"/>
                <w:right w:val="none" w:sz="0" w:space="0" w:color="auto"/>
              </w:divBdr>
              <w:divsChild>
                <w:div w:id="263537798">
                  <w:marLeft w:val="0"/>
                  <w:marRight w:val="0"/>
                  <w:marTop w:val="0"/>
                  <w:marBottom w:val="0"/>
                  <w:divBdr>
                    <w:top w:val="none" w:sz="0" w:space="0" w:color="auto"/>
                    <w:left w:val="none" w:sz="0" w:space="0" w:color="auto"/>
                    <w:bottom w:val="none" w:sz="0" w:space="0" w:color="auto"/>
                    <w:right w:val="none" w:sz="0" w:space="0" w:color="auto"/>
                  </w:divBdr>
                  <w:divsChild>
                    <w:div w:id="1518541729">
                      <w:marLeft w:val="0"/>
                      <w:marRight w:val="0"/>
                      <w:marTop w:val="0"/>
                      <w:marBottom w:val="0"/>
                      <w:divBdr>
                        <w:top w:val="none" w:sz="0" w:space="0" w:color="auto"/>
                        <w:left w:val="none" w:sz="0" w:space="0" w:color="auto"/>
                        <w:bottom w:val="none" w:sz="0" w:space="0" w:color="auto"/>
                        <w:right w:val="none" w:sz="0" w:space="0" w:color="auto"/>
                      </w:divBdr>
                      <w:divsChild>
                        <w:div w:id="128589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hyperlink" Target="https://gosfinansy.ru/" TargetMode="External"/><Relationship Id="rId13" Type="http://schemas.openxmlformats.org/officeDocument/2006/relationships/hyperlink" Target="https://gosfinansy.ru/" TargetMode="External"/><Relationship Id="rId18" Type="http://schemas.openxmlformats.org/officeDocument/2006/relationships/hyperlink" Target="https://gosfinansy.ru/" TargetMode="External"/><Relationship Id="rId26" Type="http://schemas.openxmlformats.org/officeDocument/2006/relationships/hyperlink" Target="https://gosfinansy.ru/" TargetMode="External"/><Relationship Id="rId39" Type="http://schemas.openxmlformats.org/officeDocument/2006/relationships/hyperlink" Target="https://gosfinansy.ru/" TargetMode="External"/><Relationship Id="rId3" Type="http://schemas.openxmlformats.org/officeDocument/2006/relationships/webSettings" Target="webSettings.xml"/><Relationship Id="rId21" Type="http://schemas.openxmlformats.org/officeDocument/2006/relationships/hyperlink" Target="https://gosfinansy.ru/" TargetMode="External"/><Relationship Id="rId34" Type="http://schemas.openxmlformats.org/officeDocument/2006/relationships/hyperlink" Target="https://gosfinansy.ru/" TargetMode="External"/><Relationship Id="rId42" Type="http://schemas.openxmlformats.org/officeDocument/2006/relationships/hyperlink" Target="https://gosfinansy.ru/" TargetMode="External"/><Relationship Id="rId7" Type="http://schemas.openxmlformats.org/officeDocument/2006/relationships/hyperlink" Target="https://gosfinansy.ru/" TargetMode="External"/><Relationship Id="rId12" Type="http://schemas.openxmlformats.org/officeDocument/2006/relationships/hyperlink" Target="https://gosfinansy.ru/" TargetMode="External"/><Relationship Id="rId17" Type="http://schemas.openxmlformats.org/officeDocument/2006/relationships/hyperlink" Target="https://gosfinansy.ru/" TargetMode="External"/><Relationship Id="rId25" Type="http://schemas.openxmlformats.org/officeDocument/2006/relationships/hyperlink" Target="https://gosfinansy.ru/" TargetMode="External"/><Relationship Id="rId33" Type="http://schemas.openxmlformats.org/officeDocument/2006/relationships/hyperlink" Target="https://gosfinansy.ru/" TargetMode="External"/><Relationship Id="rId38" Type="http://schemas.openxmlformats.org/officeDocument/2006/relationships/hyperlink" Target="https://gosfinansy.ru/" TargetMode="External"/><Relationship Id="rId2" Type="http://schemas.openxmlformats.org/officeDocument/2006/relationships/settings" Target="settings.xml"/><Relationship Id="rId16" Type="http://schemas.openxmlformats.org/officeDocument/2006/relationships/hyperlink" Target="https://gosfinansy.ru/" TargetMode="External"/><Relationship Id="rId20" Type="http://schemas.openxmlformats.org/officeDocument/2006/relationships/hyperlink" Target="https://gosfinansy.ru/" TargetMode="External"/><Relationship Id="rId29" Type="http://schemas.openxmlformats.org/officeDocument/2006/relationships/hyperlink" Target="https://gosfinansy.ru/" TargetMode="External"/><Relationship Id="rId41" Type="http://schemas.openxmlformats.org/officeDocument/2006/relationships/hyperlink" Target="https://gosfinansy.ru/" TargetMode="External"/><Relationship Id="rId1" Type="http://schemas.openxmlformats.org/officeDocument/2006/relationships/styles" Target="styles.xml"/><Relationship Id="rId6" Type="http://schemas.openxmlformats.org/officeDocument/2006/relationships/hyperlink" Target="https://gosfinansy.ru/" TargetMode="External"/><Relationship Id="rId11" Type="http://schemas.openxmlformats.org/officeDocument/2006/relationships/hyperlink" Target="https://gosfinansy.ru/" TargetMode="External"/><Relationship Id="rId24" Type="http://schemas.openxmlformats.org/officeDocument/2006/relationships/hyperlink" Target="https://gosfinansy.ru/" TargetMode="External"/><Relationship Id="rId32" Type="http://schemas.openxmlformats.org/officeDocument/2006/relationships/hyperlink" Target="https://gosfinansy.ru/" TargetMode="External"/><Relationship Id="rId37" Type="http://schemas.openxmlformats.org/officeDocument/2006/relationships/hyperlink" Target="https://gosfinansy.ru/" TargetMode="External"/><Relationship Id="rId40" Type="http://schemas.openxmlformats.org/officeDocument/2006/relationships/hyperlink" Target="https://gosfinansy.ru/" TargetMode="External"/><Relationship Id="rId5" Type="http://schemas.openxmlformats.org/officeDocument/2006/relationships/hyperlink" Target="https://gosfinansy.ru/" TargetMode="External"/><Relationship Id="rId15" Type="http://schemas.openxmlformats.org/officeDocument/2006/relationships/hyperlink" Target="https://gosfinansy.ru/" TargetMode="External"/><Relationship Id="rId23" Type="http://schemas.openxmlformats.org/officeDocument/2006/relationships/hyperlink" Target="https://gosfinansy.ru/" TargetMode="External"/><Relationship Id="rId28" Type="http://schemas.openxmlformats.org/officeDocument/2006/relationships/hyperlink" Target="https://gosfinansy.ru/" TargetMode="External"/><Relationship Id="rId36" Type="http://schemas.openxmlformats.org/officeDocument/2006/relationships/hyperlink" Target="https://gosfinansy.ru/" TargetMode="External"/><Relationship Id="rId10" Type="http://schemas.openxmlformats.org/officeDocument/2006/relationships/hyperlink" Target="https://gosfinansy.ru/" TargetMode="External"/><Relationship Id="rId19" Type="http://schemas.openxmlformats.org/officeDocument/2006/relationships/hyperlink" Target="https://gosfinansy.ru/" TargetMode="External"/><Relationship Id="rId31" Type="http://schemas.openxmlformats.org/officeDocument/2006/relationships/hyperlink" Target="https://gosfinansy.ru/" TargetMode="External"/><Relationship Id="rId44" Type="http://schemas.openxmlformats.org/officeDocument/2006/relationships/theme" Target="theme/theme1.xml"/><Relationship Id="rId4" Type="http://schemas.openxmlformats.org/officeDocument/2006/relationships/hyperlink" Target="https://gosfinansy.ru/" TargetMode="External"/><Relationship Id="rId9" Type="http://schemas.openxmlformats.org/officeDocument/2006/relationships/hyperlink" Target="https://gosfinansy.ru/" TargetMode="External"/><Relationship Id="rId14" Type="http://schemas.openxmlformats.org/officeDocument/2006/relationships/hyperlink" Target="https://gosfinansy.ru/" TargetMode="External"/><Relationship Id="rId22" Type="http://schemas.openxmlformats.org/officeDocument/2006/relationships/hyperlink" Target="https://gosfinansy.ru/" TargetMode="External"/><Relationship Id="rId27" Type="http://schemas.openxmlformats.org/officeDocument/2006/relationships/hyperlink" Target="https://gosfinansy.ru/" TargetMode="External"/><Relationship Id="rId30" Type="http://schemas.openxmlformats.org/officeDocument/2006/relationships/hyperlink" Target="https://gosfinansy.ru/" TargetMode="External"/><Relationship Id="rId35" Type="http://schemas.openxmlformats.org/officeDocument/2006/relationships/hyperlink" Target="https://gosfinansy.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2139</Words>
  <Characters>12197</Characters>
  <Application>Microsoft Office Word</Application>
  <DocSecurity>0</DocSecurity>
  <Lines>101</Lines>
  <Paragraphs>28</Paragraphs>
  <ScaleCrop>false</ScaleCrop>
  <Company/>
  <LinksUpToDate>false</LinksUpToDate>
  <CharactersWithSpaces>14308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laandreeva</dc:creator>
  <cp:lastModifiedBy>laandreeva</cp:lastModifiedBy>
  <cp:revision>2</cp:revision>
  <dcterms:created xsi:type="dcterms:W3CDTF">2024-04-12T01:02:00Z</dcterms:created>
  <dcterms:modified xsi:type="dcterms:W3CDTF">2024-04-12T01:02:00Z</dcterms:modified>
</cp:coreProperties>
</file>