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4A0" w:firstRow="1" w:lastRow="0" w:firstColumn="1" w:lastColumn="0" w:noHBand="0" w:noVBand="1"/>
      </w:tblPr>
      <w:tblGrid>
        <w:gridCol w:w="3894"/>
      </w:tblGrid>
      <w:tr w:rsidR="006E4AA9" w:rsidTr="00073FF0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A9" w:rsidRDefault="006E4AA9" w:rsidP="00073FF0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6E4AA9" w:rsidRDefault="006E4AA9" w:rsidP="00073FF0">
            <w:pPr>
              <w:pStyle w:val="a6"/>
              <w:spacing w:line="360" w:lineRule="auto"/>
              <w:jc w:val="both"/>
            </w:pPr>
            <w:r>
              <w:t>Ректор</w:t>
            </w:r>
          </w:p>
          <w:p w:rsidR="006E4AA9" w:rsidRDefault="006E4AA9" w:rsidP="00073FF0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>
              <w:t>С.В.Калмыков</w:t>
            </w:r>
            <w:proofErr w:type="spellEnd"/>
          </w:p>
          <w:p w:rsidR="006E4AA9" w:rsidRDefault="006E4AA9" w:rsidP="00073FF0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«____»__________2014 г. </w:t>
            </w:r>
          </w:p>
        </w:tc>
      </w:tr>
      <w:tr w:rsidR="006E4AA9" w:rsidTr="00073FF0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A9" w:rsidRDefault="006E4AA9" w:rsidP="00073FF0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6E4AA9" w:rsidRDefault="006E4AA9" w:rsidP="006E4AA9">
      <w:pPr>
        <w:spacing w:after="0" w:line="360" w:lineRule="auto"/>
        <w:ind w:firstLine="709"/>
        <w:jc w:val="center"/>
      </w:pP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6E4AA9" w:rsidRDefault="006E4AA9" w:rsidP="006E4AA9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31.08.02. Анестезиология-реаниматология</w:t>
      </w:r>
    </w:p>
    <w:p w:rsidR="006E4AA9" w:rsidRDefault="006E4AA9" w:rsidP="006E4AA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4AA9" w:rsidRDefault="006E4AA9" w:rsidP="006E4A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6E4AA9" w:rsidRDefault="006E4AA9" w:rsidP="006E4A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6E4AA9" w:rsidRDefault="006E4AA9" w:rsidP="006E4A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(2013год) в связи с введением в действие Федерального государственного образовательного стандарта высшего образования по направлению подготовки 31.08.02 Анестезиология-реаниматология (ординатура)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6E4AA9" w:rsidRDefault="006E4AA9" w:rsidP="006E4AA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г.</w:t>
      </w:r>
    </w:p>
    <w:p w:rsidR="006E4AA9" w:rsidRDefault="006E4AA9" w:rsidP="006E4AA9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  <w:sectPr w:rsidR="006E4AA9">
          <w:pgSz w:w="11906" w:h="16838"/>
          <w:pgMar w:top="1410" w:right="567" w:bottom="1410" w:left="1701" w:header="1134" w:footer="1134" w:gutter="0"/>
          <w:pgNumType w:start="1"/>
          <w:cols w:space="720"/>
        </w:sectPr>
      </w:pPr>
    </w:p>
    <w:p w:rsidR="006E4AA9" w:rsidRDefault="006E4AA9" w:rsidP="006E4AA9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E4AA9" w:rsidRDefault="006E4AA9" w:rsidP="006E4AA9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6E4AA9">
          <w:pgSz w:w="11906" w:h="16838"/>
          <w:pgMar w:top="1134" w:right="567" w:bottom="1134" w:left="1701" w:header="720" w:footer="720" w:gutter="0"/>
          <w:cols w:space="720"/>
        </w:sectPr>
      </w:pPr>
    </w:p>
    <w:p w:rsidR="006E4AA9" w:rsidRDefault="006E4AA9" w:rsidP="006E4AA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1.1. Назначение и основное содержание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1.2 Нормативные документы для разработки ОП ВО, </w:t>
      </w:r>
      <w:r>
        <w:rPr>
          <w:noProof/>
        </w:rPr>
        <w:t>реализуемой в БГУ,</w:t>
      </w:r>
      <w:r>
        <w:rPr>
          <w:noProof/>
          <w:color w:val="FF0000"/>
        </w:rPr>
        <w:t xml:space="preserve"> </w:t>
      </w:r>
      <w:r>
        <w:rPr>
          <w:noProof/>
          <w:color w:val="000000"/>
        </w:rPr>
        <w:t xml:space="preserve">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1.3.1. Цель (миссия) программы ординатуры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E4AA9" w:rsidRDefault="006E4AA9" w:rsidP="006E4AA9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НАПРАВЛЕНИЮ ПОДГОТОВКИ  31.08.02 «анестезиология-реаниматология»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2.1. Область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</w:rPr>
        <w:t>Область профессиональной деятельности выпускников, освоивших программу ординатуры включает: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2.2 Объекты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2.3 Виды профессиональной деятельности выпускника.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2.4. Задачи профессиональной деятельности выпускника.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6E4AA9" w:rsidRDefault="006E4AA9" w:rsidP="006E4AA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10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4.1. Календарный учебный график (график учебного процесса)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ОП ВО по направлению подготовки  </w:t>
      </w:r>
      <w:r>
        <w:rPr>
          <w:noProof/>
        </w:rPr>
        <w:t>31.08.02 «Анестезиология- 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4.2. Учебный план ОП ВО по направлению подготовки 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6E4AA9" w:rsidRDefault="006E4AA9" w:rsidP="006E4AA9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11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</w:rPr>
        <w:t xml:space="preserve">4.4. Рабочие программы всех практик, предусмотренных образовательной программой   по направлению подготовки  31.08.02 «Анестезиология-реаниматология» </w:t>
      </w:r>
      <w:r>
        <w:rPr>
          <w:i/>
          <w:noProof/>
        </w:rPr>
        <w:t xml:space="preserve">  </w:t>
      </w:r>
      <w:r>
        <w:rPr>
          <w:noProof/>
        </w:rPr>
        <w:t>приведены в Приложении 5.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</w:rPr>
        <w:t>4.5. Фонд оценочных средств для проведения промежуточной аттестации.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6E4AA9" w:rsidRDefault="006E4AA9" w:rsidP="006E4AA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5.1. Кадровое обеспечение.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5.2. Учебно-методическое и информационное обеспечение программы ординатуры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5.2.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6E4AA9" w:rsidRDefault="006E4AA9" w:rsidP="006E4AA9">
      <w:pPr>
        <w:pStyle w:val="21"/>
        <w:rPr>
          <w:noProof/>
          <w:lang w:eastAsia="ru-RU"/>
        </w:rPr>
      </w:pPr>
      <w:r>
        <w:rPr>
          <w:noProof/>
          <w:color w:val="000000"/>
        </w:rPr>
        <w:t>5.4. Требования к финансовым условиям реализации программы ординатуры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6E4AA9" w:rsidRDefault="006E4AA9" w:rsidP="006E4AA9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19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6E4AA9" w:rsidRDefault="006E4AA9" w:rsidP="006E4AA9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6E4AA9" w:rsidRDefault="006E4AA9" w:rsidP="006E4AA9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  <w:sectPr w:rsidR="006E4AA9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6E4AA9" w:rsidRDefault="006E4AA9" w:rsidP="006E4AA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6E4AA9" w:rsidRDefault="006E4AA9" w:rsidP="006E4AA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ВПО «Бурятский государственный университет» (ОП ВО), по направлению подготовки 31.08.02 «Анестезиология-реаниматология» (ординатура)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31.08.02 «Анестезиология-реаниматология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1044.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ВПО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соответствии с направлением подготовки, решений ученого совета,  учебно-методического совета и ректората университета. </w:t>
      </w:r>
    </w:p>
    <w:p w:rsidR="006E4AA9" w:rsidRDefault="006E4AA9" w:rsidP="006E4AA9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2"/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6E4AA9" w:rsidRDefault="006E4AA9" w:rsidP="006E4AA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31.08.02 «Травматология и ортопедия»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25.08.2014 № 1044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России;</w:t>
      </w:r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ФГБОУ ВПО «Бурятский государственный университет»;</w:t>
      </w:r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6E4AA9" w:rsidRDefault="006E4AA9" w:rsidP="006E4AA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3"/>
    </w:p>
    <w:p w:rsidR="006E4AA9" w:rsidRDefault="006E4AA9" w:rsidP="006E4AA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4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31.08.02 «Анестезиология-реаниматология»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области воспитания целью ОП ординатуры по направлению подготовки 31.08.02 «Анестезиология-реаниматология»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31.08.02 «Анестезиология-реаниматология»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6E4AA9" w:rsidRDefault="006E4AA9" w:rsidP="006E4AA9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6E4AA9" w:rsidRDefault="006E4AA9" w:rsidP="006E4AA9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31.08.02 «Анестезиология-реаниматология»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 120 зачетных единиц за весь период обучения по любой форме обучения и включает все виды 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6E4AA9" w:rsidRDefault="006E4AA9" w:rsidP="006E4AA9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в ординатуру университета, утверждаемыми ежегодно ректором университета поступающий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 с оплатой стоимости обучения с </w:t>
      </w:r>
      <w:r>
        <w:rPr>
          <w:rFonts w:ascii="Times New Roman" w:hAnsi="Times New Roman"/>
          <w:sz w:val="24"/>
          <w:szCs w:val="24"/>
        </w:rPr>
        <w:lastRenderedPageBreak/>
        <w:t>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6E4AA9" w:rsidRDefault="006E4AA9" w:rsidP="006E4AA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8" w:name="_Toc454884416"/>
      <w:r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31.08.02 </w:t>
      </w:r>
      <w:r>
        <w:rPr>
          <w:rFonts w:ascii="Times New Roman" w:hAnsi="Times New Roman"/>
          <w:caps/>
          <w:color w:val="000000"/>
          <w:sz w:val="24"/>
          <w:szCs w:val="24"/>
        </w:rPr>
        <w:t>«анестезиология-реаниматология»</w:t>
      </w:r>
      <w:bookmarkEnd w:id="8"/>
    </w:p>
    <w:p w:rsidR="006E4AA9" w:rsidRDefault="006E4AA9" w:rsidP="006E4AA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6E4AA9" w:rsidRDefault="006E4AA9" w:rsidP="006E4AA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выпускников, освоивших программу ординатуры 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E4AA9" w:rsidRDefault="006E4AA9" w:rsidP="006E4AA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E4AA9" w:rsidRDefault="006E4AA9" w:rsidP="006E4AA9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6E4AA9" w:rsidRDefault="006E4AA9" w:rsidP="006E4AA9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6E4AA9" w:rsidRDefault="006E4AA9" w:rsidP="006E4AA9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6E4AA9" w:rsidRDefault="006E4AA9" w:rsidP="006E4AA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6E4AA9" w:rsidRDefault="006E4AA9" w:rsidP="006E4AA9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6E4AA9" w:rsidRDefault="006E4AA9" w:rsidP="006E4AA9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6E4AA9" w:rsidRDefault="006E4AA9" w:rsidP="006E4AA9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лечебная;</w:t>
      </w:r>
    </w:p>
    <w:p w:rsidR="006E4AA9" w:rsidRDefault="006E4AA9" w:rsidP="006E4AA9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6E4AA9" w:rsidRDefault="006E4AA9" w:rsidP="006E4AA9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6E4AA9" w:rsidRDefault="006E4AA9" w:rsidP="006E4AA9">
      <w:pPr>
        <w:pStyle w:val="a4"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6E4AA9" w:rsidRDefault="006E4AA9" w:rsidP="006E4AA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  <w:bookmarkEnd w:id="13"/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профилактическая деятельность:</w:t>
      </w:r>
    </w:p>
    <w:p w:rsidR="006E4AA9" w:rsidRDefault="006E4AA9" w:rsidP="006E4AA9">
      <w:pPr>
        <w:pStyle w:val="a4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 диспансерного наблюдения;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6E4AA9" w:rsidRDefault="006E4AA9" w:rsidP="006E4AA9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Выпускник направления подготовки 31.08.02 «Анестезиология-реаниматология»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, определенными на основе ФГОС ВО и Примерной образовательной программы (при наличии).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</w:t>
      </w:r>
      <w:proofErr w:type="gramStart"/>
      <w:r>
        <w:rPr>
          <w:rFonts w:ascii="Times New Roman" w:hAnsi="Times New Roman"/>
          <w:sz w:val="24"/>
          <w:szCs w:val="24"/>
        </w:rPr>
        <w:t>обязательных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31.08.02 «Анестезиология-реаниматология» представлен в таблице 1. </w:t>
      </w:r>
    </w:p>
    <w:p w:rsidR="006E4AA9" w:rsidRDefault="006E4AA9" w:rsidP="006E4AA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Полный состав компетенций выпускника, регламентируемый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355"/>
      </w:tblGrid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защиты населения в очагах особо опасных инфекций, при ухудшении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радиационной обстановки, стихийных бедствиях и иных чрезвычайных ситуациях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комплекса анестезиологических и (или) реанимационных мероприятий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92436" w:rsidTr="0009243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 подразделениях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092436" w:rsidTr="00092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092436" w:rsidRDefault="00092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6E4AA9" w:rsidRDefault="006E4AA9" w:rsidP="006E4AA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GoBack"/>
      <w:bookmarkEnd w:id="15"/>
    </w:p>
    <w:p w:rsidR="006E4AA9" w:rsidRDefault="006E4AA9" w:rsidP="006E4AA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1 – Сводный паспорт компетенций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 подготовки 31.08.02 «Анестезиология-реаниматология».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6E4AA9" w:rsidRDefault="006E4AA9" w:rsidP="006E4AA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программы ОРДИНАТУРЫ </w:t>
      </w:r>
      <w:r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31.08.02 </w:t>
      </w:r>
      <w:r>
        <w:rPr>
          <w:rFonts w:ascii="Times New Roman" w:hAnsi="Times New Roman"/>
          <w:caps/>
          <w:color w:val="000000"/>
          <w:sz w:val="24"/>
          <w:szCs w:val="24"/>
        </w:rPr>
        <w:t>«Анестезиология-реаниматология»</w:t>
      </w:r>
      <w:bookmarkEnd w:id="16"/>
    </w:p>
    <w:p w:rsidR="006E4AA9" w:rsidRDefault="006E4AA9" w:rsidP="006E4AA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31.08.02 «Анестезиология-реаниматология»,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6E4AA9" w:rsidRDefault="006E4AA9" w:rsidP="006E4AA9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6E4AA9" w:rsidRDefault="006E4AA9" w:rsidP="006E4AA9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подготовки ординаторов по направлению 31.08.02 «Анестезиология-реаниматология»;</w:t>
      </w:r>
    </w:p>
    <w:p w:rsidR="006E4AA9" w:rsidRDefault="006E4AA9" w:rsidP="006E4AA9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рабочими программами  учебных дисциплин (модулей), программами  практик;</w:t>
      </w:r>
    </w:p>
    <w:p w:rsidR="006E4AA9" w:rsidRDefault="006E4AA9" w:rsidP="006E4AA9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6E4AA9" w:rsidRDefault="006E4AA9" w:rsidP="006E4AA9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6E4AA9" w:rsidRDefault="006E4AA9" w:rsidP="006E4AA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17"/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 календарном учебном графике указаны периоды осуществления видов учебной деятельности (последовательность реализации программы ординатуры по годам, включая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6E4AA9" w:rsidRDefault="006E4AA9" w:rsidP="006E4AA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31.08.02 «Анестезиология-реаниматология» по очной форме обучения представлен  в Приложении 2.  </w:t>
      </w:r>
    </w:p>
    <w:p w:rsidR="006E4AA9" w:rsidRDefault="006E4AA9" w:rsidP="006E4AA9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18"/>
    </w:p>
    <w:p w:rsidR="006E4AA9" w:rsidRDefault="006E4AA9" w:rsidP="006E4AA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план, разработанный выпускающей кафедрой «Последипломного образования», приведен в Приложении 3. </w:t>
      </w:r>
    </w:p>
    <w:p w:rsidR="006E4AA9" w:rsidRDefault="006E4AA9" w:rsidP="006E4AA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31.08.02 </w:t>
      </w:r>
      <w:r>
        <w:rPr>
          <w:rFonts w:ascii="Times New Roman" w:hAnsi="Times New Roman"/>
          <w:sz w:val="24"/>
          <w:szCs w:val="24"/>
        </w:rPr>
        <w:lastRenderedPageBreak/>
        <w:t xml:space="preserve">«Анестезиология-реаниматология». В вариативных частях учебных циклов указан самостоятельно сформированный университетом перечень и последовательность модулей и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 Образовательная программа содержит дисциплины по выбору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в объеме 85% от объема вариативной части Блока 1 «Дисциплины (модули)». </w:t>
      </w:r>
    </w:p>
    <w:p w:rsidR="006E4AA9" w:rsidRDefault="006E4AA9" w:rsidP="006E4AA9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>
        <w:rPr>
          <w:sz w:val="24"/>
          <w:szCs w:val="24"/>
        </w:rPr>
        <w:t>4.3. Рабочие программы дисциплин (модулей</w:t>
      </w:r>
      <w:r>
        <w:rPr>
          <w:b w:val="0"/>
          <w:sz w:val="24"/>
          <w:szCs w:val="24"/>
        </w:rPr>
        <w:t>).</w:t>
      </w:r>
      <w:bookmarkEnd w:id="19"/>
    </w:p>
    <w:p w:rsidR="006E4AA9" w:rsidRDefault="006E4AA9" w:rsidP="006E4AA9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</w:t>
      </w:r>
      <w:r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4.</w:t>
      </w:r>
    </w:p>
    <w:p w:rsidR="006E4AA9" w:rsidRDefault="006E4AA9" w:rsidP="006E4AA9">
      <w:pPr>
        <w:pStyle w:val="a5"/>
        <w:spacing w:line="360" w:lineRule="auto"/>
        <w:ind w:left="0" w:firstLine="709"/>
        <w:rPr>
          <w:b/>
        </w:rPr>
      </w:pPr>
      <w:r>
        <w:rPr>
          <w:b/>
        </w:rPr>
        <w:t>4.4. Рабочие программы практик.</w:t>
      </w:r>
    </w:p>
    <w:p w:rsidR="006E4AA9" w:rsidRDefault="006E4AA9" w:rsidP="006E4AA9">
      <w:pPr>
        <w:pStyle w:val="2"/>
        <w:tabs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6E4AA9" w:rsidRDefault="006E4AA9" w:rsidP="006E4AA9">
      <w:pPr>
        <w:pStyle w:val="2"/>
        <w:tabs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93830"/>
      <w:bookmarkStart w:id="23" w:name="_Toc149688263"/>
      <w:bookmarkStart w:id="24" w:name="_Toc149688207"/>
      <w:bookmarkStart w:id="25" w:name="_Toc149688180"/>
      <w:bookmarkStart w:id="26" w:name="_Toc149688016"/>
      <w:bookmarkStart w:id="27" w:name="_Toc149687665"/>
      <w:r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компетенций с указанием этапов их формирования в процессе освоения образовательной программы;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проведения промежуточной аттестации представлены в Приложении 6.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93834"/>
      <w:bookmarkStart w:id="29" w:name="_Toc149688267"/>
      <w:bookmarkStart w:id="30" w:name="_Toc149688211"/>
      <w:bookmarkStart w:id="31" w:name="_Toc149688181"/>
      <w:bookmarkStart w:id="32" w:name="_Toc149688018"/>
      <w:bookmarkStart w:id="33" w:name="_Toc149687667"/>
      <w:r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6E4AA9" w:rsidRDefault="006E4AA9" w:rsidP="006E4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ординатуры по направлению  31.08.02 «Анестезиология-реаниматология»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 экзамена, в соответствии с Положением  о государственной итоговой аттестации выпускников ФГБОУ ВПО «БГУ».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 содержит: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я проведения государственной итоговой аттестации представлен в Приложении 7.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4"/>
    </w:p>
    <w:p w:rsidR="006E4AA9" w:rsidRDefault="006E4AA9" w:rsidP="006E4AA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4AA9" w:rsidRDefault="006E4AA9" w:rsidP="006E4AA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6E4AA9" w:rsidRDefault="006E4AA9" w:rsidP="006E4AA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70%. </w:t>
      </w:r>
    </w:p>
    <w:p w:rsidR="006E4AA9" w:rsidRDefault="006E4AA9" w:rsidP="006E4AA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</w:t>
      </w:r>
      <w:r>
        <w:rPr>
          <w:rFonts w:ascii="Times New Roman" w:hAnsi="Times New Roman"/>
          <w:sz w:val="24"/>
          <w:szCs w:val="24"/>
        </w:rPr>
        <w:lastRenderedPageBreak/>
        <w:t xml:space="preserve">составляет  70%. </w:t>
      </w:r>
      <w:proofErr w:type="gramEnd"/>
    </w:p>
    <w:p w:rsidR="006E4AA9" w:rsidRDefault="006E4AA9" w:rsidP="006E4AA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ординатуры, составляет 10%. </w:t>
      </w:r>
      <w:proofErr w:type="gramEnd"/>
    </w:p>
    <w:p w:rsidR="006E4AA9" w:rsidRDefault="006E4AA9" w:rsidP="006E4AA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6E4AA9" w:rsidRDefault="006E4AA9" w:rsidP="006E4AA9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t>5.2. Учебно-методическое и информационное обеспечение программы ординатуры</w:t>
      </w:r>
      <w:bookmarkEnd w:id="36"/>
    </w:p>
    <w:p w:rsidR="006E4AA9" w:rsidRDefault="006E4AA9" w:rsidP="006E4AA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 ординатуры обеспечивается доступом каждого ординатора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6" w:history="1">
        <w:r>
          <w:rPr>
            <w:rStyle w:val="a3"/>
            <w:sz w:val="24"/>
            <w:szCs w:val="24"/>
          </w:rPr>
          <w:t>http://www.library.bsu.ru/menu-for-teachers/menu-subjects-and-typological-plan-of-acquisition.html</w:t>
        </w:r>
      </w:hyperlink>
      <w:r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6E4AA9" w:rsidRDefault="006E4AA9" w:rsidP="006E4AA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</w:t>
      </w:r>
    </w:p>
    <w:p w:rsidR="006E4AA9" w:rsidRDefault="006E4AA9" w:rsidP="006E4AA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Подписка на периодические издания - 182 наименования, из них 79 наименований в электронной форме.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6E4AA9" w:rsidRDefault="006E4AA9" w:rsidP="006E4AA9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6E4AA9" w:rsidRDefault="006E4AA9" w:rsidP="006E4AA9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</w:t>
      </w:r>
      <w:proofErr w:type="spellStart"/>
      <w:r>
        <w:rPr>
          <w:rFonts w:ascii="Times New Roman" w:hAnsi="Times New Roman"/>
          <w:sz w:val="24"/>
          <w:szCs w:val="24"/>
        </w:rPr>
        <w:t>Руконт</w:t>
      </w:r>
      <w:proofErr w:type="spellEnd"/>
      <w:r>
        <w:rPr>
          <w:rFonts w:ascii="Times New Roman" w:hAnsi="Times New Roman"/>
          <w:sz w:val="24"/>
          <w:szCs w:val="24"/>
        </w:rPr>
        <w:t xml:space="preserve">»;  </w:t>
      </w:r>
    </w:p>
    <w:p w:rsidR="006E4AA9" w:rsidRDefault="006E4AA9" w:rsidP="006E4AA9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ЭБС «Консультант студента»; </w:t>
      </w:r>
    </w:p>
    <w:p w:rsidR="006E4AA9" w:rsidRDefault="006E4AA9" w:rsidP="006E4AA9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«Консультант врача».</w:t>
      </w:r>
    </w:p>
    <w:p w:rsidR="006E4AA9" w:rsidRDefault="006E4AA9" w:rsidP="006E4AA9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 С 2013 года вуз подключен к информационно-образовательному порталу «</w:t>
      </w:r>
      <w:proofErr w:type="spellStart"/>
      <w:r>
        <w:rPr>
          <w:rFonts w:ascii="Times New Roman" w:hAnsi="Times New Roman"/>
          <w:sz w:val="24"/>
          <w:szCs w:val="24"/>
        </w:rPr>
        <w:t>Информио</w:t>
      </w:r>
      <w:proofErr w:type="spellEnd"/>
      <w:r>
        <w:rPr>
          <w:rFonts w:ascii="Times New Roman" w:hAnsi="Times New Roman"/>
          <w:sz w:val="24"/>
          <w:szCs w:val="24"/>
        </w:rPr>
        <w:t xml:space="preserve">». 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6E4AA9" w:rsidRDefault="006E4AA9" w:rsidP="006E4AA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6 931 полный текст.</w:t>
      </w:r>
    </w:p>
    <w:p w:rsidR="006E4AA9" w:rsidRDefault="006E4AA9" w:rsidP="006E4AA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Web</w:t>
      </w:r>
      <w:proofErr w:type="spellEnd"/>
      <w:r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обеспечивает полноту,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актуальность и доступность информации,  ориентированной на поддержку образовательной и исследовательской деятельности. </w:t>
      </w:r>
    </w:p>
    <w:p w:rsidR="006E4AA9" w:rsidRDefault="006E4AA9" w:rsidP="006E4AA9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библиотеки. </w:t>
      </w:r>
    </w:p>
    <w:p w:rsidR="006E4AA9" w:rsidRDefault="006E4AA9" w:rsidP="006E4A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6E4AA9" w:rsidRDefault="006E4AA9" w:rsidP="006E4AA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</w:t>
      </w:r>
      <w:r>
        <w:rPr>
          <w:rFonts w:ascii="Times New Roman" w:hAnsi="Times New Roman"/>
          <w:sz w:val="24"/>
          <w:szCs w:val="24"/>
        </w:rPr>
        <w:lastRenderedPageBreak/>
        <w:t>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>
        <w:rPr>
          <w:rFonts w:ascii="Times New Roman" w:hAnsi="Times New Roman"/>
        </w:rPr>
        <w:t>пульсотахометр</w:t>
      </w:r>
      <w:proofErr w:type="spellEnd"/>
      <w:r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>
        <w:rPr>
          <w:rFonts w:ascii="Times New Roman" w:hAnsi="Times New Roman"/>
        </w:rPr>
        <w:t>вертебральный</w:t>
      </w:r>
      <w:proofErr w:type="spellEnd"/>
      <w:r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E4AA9" w:rsidRDefault="006E4AA9" w:rsidP="006E4AA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6E4AA9" w:rsidRDefault="006E4AA9" w:rsidP="006E4AA9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</w:t>
      </w:r>
      <w:r>
        <w:rPr>
          <w:rFonts w:ascii="Times New Roman" w:hAnsi="Times New Roman"/>
          <w:sz w:val="24"/>
          <w:szCs w:val="24"/>
        </w:rPr>
        <w:lastRenderedPageBreak/>
        <w:t xml:space="preserve">информация о учебно-лабораторном оборудовании.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по направлению 31.08.02 «Анестезиология-реаниматология»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6"/>
        <w:gridCol w:w="4086"/>
        <w:gridCol w:w="2153"/>
      </w:tblGrid>
      <w:tr w:rsidR="006E4AA9" w:rsidTr="00073F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владения,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6E4AA9" w:rsidTr="00073FF0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  <w:p w:rsidR="006E4AA9" w:rsidRDefault="006E4AA9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6E4AA9" w:rsidTr="00073FF0">
        <w:trPr>
          <w:cantSplit/>
          <w:trHeight w:val="8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6E4AA9" w:rsidTr="00073FF0">
        <w:trPr>
          <w:cantSplit/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AA9" w:rsidTr="00073FF0">
        <w:trPr>
          <w:cantSplit/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Лекционные залы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№6125 - 84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мультимедийная приставка 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6E4AA9" w:rsidTr="00073FF0">
        <w:trPr>
          <w:cantSplit/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6E4AA9" w:rsidRDefault="006E4AA9" w:rsidP="00073F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Аудитория ГАУЗ ДРКБ </w:t>
            </w:r>
            <w:r>
              <w:rPr>
                <w:rFonts w:ascii="Times New Roman" w:hAnsi="Times New Roman"/>
              </w:rPr>
              <w:t>(аудитория № 306-В)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>
              <w:rPr>
                <w:rFonts w:ascii="Times New Roman" w:hAnsi="Times New Roman"/>
                <w:bCs/>
              </w:rPr>
              <w:t>Smart</w:t>
            </w:r>
            <w:proofErr w:type="spellEnd"/>
            <w:r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>
              <w:rPr>
                <w:rFonts w:ascii="Times New Roman" w:hAnsi="Times New Roman"/>
                <w:bCs/>
              </w:rPr>
              <w:t>Samsung</w:t>
            </w:r>
            <w:proofErr w:type="spellEnd"/>
            <w:r>
              <w:rPr>
                <w:rFonts w:ascii="Times New Roman" w:hAnsi="Times New Roman"/>
                <w:bCs/>
              </w:rPr>
              <w:t>”, “</w:t>
            </w:r>
            <w:proofErr w:type="spellStart"/>
            <w:r>
              <w:rPr>
                <w:rFonts w:ascii="Times New Roman" w:hAnsi="Times New Roman"/>
                <w:bCs/>
              </w:rPr>
              <w:t>Lenovo</w:t>
            </w:r>
            <w:proofErr w:type="spellEnd"/>
            <w:r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>
              <w:rPr>
                <w:rFonts w:ascii="Times New Roman" w:hAnsi="Times New Roman"/>
                <w:bCs/>
              </w:rPr>
              <w:t>Pentium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6E4AA9" w:rsidTr="00073FF0">
        <w:trPr>
          <w:cantSplit/>
          <w:trHeight w:val="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6E4AA9" w:rsidTr="00073FF0">
        <w:trPr>
          <w:cantSplit/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kern w:val="36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AA9" w:rsidTr="00073FF0">
        <w:trPr>
          <w:cantSplit/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kern w:val="36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6E4AA9" w:rsidTr="00073FF0"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Pr="00DC4405" w:rsidRDefault="006E4AA9" w:rsidP="00073FF0">
            <w:pPr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Pr="00DC4405" w:rsidRDefault="006E4AA9" w:rsidP="00073FF0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Pr="00DC4405" w:rsidRDefault="006E4AA9" w:rsidP="00073FF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6E4AA9" w:rsidTr="00073FF0">
        <w:trPr>
          <w:cantSplit/>
          <w:trHeight w:val="1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Pr="005A1607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607">
              <w:rPr>
                <w:rFonts w:ascii="Times New Roman" w:hAnsi="Times New Roman"/>
                <w:color w:val="222222"/>
                <w:sz w:val="24"/>
                <w:szCs w:val="24"/>
              </w:rPr>
              <w:t>ГБУЗ "Бурятская республиканская станция переливания крови МЗ РБ"</w:t>
            </w:r>
            <w:r w:rsidRPr="005A1607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№14-78 27.11.14 – 27.11.16</w:t>
            </w: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4AA9" w:rsidTr="00073FF0">
        <w:trPr>
          <w:cantSplit/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AA9" w:rsidTr="00073FF0">
        <w:trPr>
          <w:cantSplit/>
          <w:trHeight w:val="18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Реанимация и интенсивная терапия в неонатологии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6E4AA9" w:rsidRDefault="006E4AA9" w:rsidP="00073F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E4AA9" w:rsidTr="00073FF0">
        <w:trPr>
          <w:cantSplit/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9" w:rsidRDefault="006E4AA9" w:rsidP="00073FF0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A9" w:rsidRDefault="006E4AA9" w:rsidP="00073F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>
              <w:rPr>
                <w:rFonts w:ascii="Times New Roman" w:hAnsi="Times New Roman"/>
                <w:bCs/>
              </w:rPr>
              <w:t>,2 компьютера (ноутбука) «</w:t>
            </w:r>
            <w:r>
              <w:rPr>
                <w:rFonts w:ascii="Times New Roman" w:hAnsi="Times New Roman"/>
                <w:bCs/>
                <w:lang w:val="en-US"/>
              </w:rPr>
              <w:t>Samsung</w:t>
            </w:r>
            <w:r>
              <w:rPr>
                <w:rFonts w:ascii="Times New Roman" w:hAnsi="Times New Roman"/>
                <w:bCs/>
              </w:rPr>
              <w:t>”, “</w:t>
            </w:r>
            <w:r>
              <w:rPr>
                <w:rFonts w:ascii="Times New Roman" w:hAnsi="Times New Roman"/>
                <w:bCs/>
                <w:lang w:val="en-US"/>
              </w:rPr>
              <w:t>Lenovo</w:t>
            </w:r>
            <w:r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>
              <w:rPr>
                <w:rFonts w:ascii="Times New Roman" w:hAnsi="Times New Roman"/>
                <w:bCs/>
              </w:rPr>
              <w:t xml:space="preserve"> 166, учебные программы на </w:t>
            </w:r>
            <w:r>
              <w:rPr>
                <w:rFonts w:ascii="Times New Roman" w:hAnsi="Times New Roman"/>
                <w:bCs/>
                <w:lang w:val="en-US"/>
              </w:rPr>
              <w:t>CD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>
              <w:rPr>
                <w:rFonts w:ascii="Times New Roman" w:hAnsi="Times New Roman"/>
                <w:bCs/>
                <w:lang w:val="en-US"/>
              </w:rPr>
              <w:t>DVD</w:t>
            </w:r>
            <w:r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AA9" w:rsidRDefault="006E4AA9" w:rsidP="0007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4AA9" w:rsidRDefault="006E4AA9" w:rsidP="006E4AA9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7" w:history="1">
        <w:r>
          <w:rPr>
            <w:rStyle w:val="a3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4AA9" w:rsidRDefault="006E4AA9" w:rsidP="006E4AA9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  <w:bookmarkEnd w:id="38"/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6E4AA9" w:rsidRDefault="006E4AA9" w:rsidP="006E4AA9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4AA9" w:rsidRDefault="006E4AA9" w:rsidP="006E4AA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ОРДИНАТУРЫ по направлению подготовки 31.08.02 «Анестезиология-реаниматология»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</w:t>
      </w:r>
      <w:r>
        <w:rPr>
          <w:rFonts w:ascii="Times New Roman" w:hAnsi="Times New Roman"/>
          <w:sz w:val="24"/>
          <w:szCs w:val="24"/>
        </w:rPr>
        <w:lastRenderedPageBreak/>
        <w:t>освоения программы несет БГУ. Университет гарантирует качество подготовки выпускника по направлению 31.08.02 «Анестезиология-</w:t>
      </w:r>
      <w:proofErr w:type="spellStart"/>
      <w:r>
        <w:rPr>
          <w:rFonts w:ascii="Times New Roman" w:hAnsi="Times New Roman"/>
          <w:sz w:val="24"/>
          <w:szCs w:val="24"/>
        </w:rPr>
        <w:t>рениматология</w:t>
      </w:r>
      <w:proofErr w:type="spellEnd"/>
      <w:r>
        <w:rPr>
          <w:rFonts w:ascii="Times New Roman" w:hAnsi="Times New Roman"/>
          <w:sz w:val="24"/>
          <w:szCs w:val="24"/>
        </w:rPr>
        <w:t>», в том числе путем:</w:t>
      </w:r>
    </w:p>
    <w:p w:rsidR="006E4AA9" w:rsidRDefault="006E4AA9" w:rsidP="006E4AA9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6E4AA9" w:rsidRDefault="006E4AA9" w:rsidP="006E4AA9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6E4AA9" w:rsidRDefault="006E4AA9" w:rsidP="006E4AA9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6E4AA9" w:rsidRDefault="006E4AA9" w:rsidP="006E4AA9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6E4AA9" w:rsidRDefault="006E4AA9" w:rsidP="006E4AA9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образовательных областей.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31.08.02 «Анестезиология-реаниматология» в качестве обязательного государственного аттестационного испытания включает государственный экзамен.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31.08.02 «Анестезиология-реаниматология» определяется в ходе следующих мероприятий:</w:t>
      </w:r>
    </w:p>
    <w:p w:rsidR="006E4AA9" w:rsidRDefault="006E4AA9" w:rsidP="006E4AA9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(Приложение 8);</w:t>
      </w:r>
    </w:p>
    <w:p w:rsidR="006E4AA9" w:rsidRDefault="006E4AA9" w:rsidP="006E4AA9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6E4AA9" w:rsidRDefault="006E4AA9" w:rsidP="006E4AA9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6E4AA9" w:rsidTr="00073FF0">
        <w:tc>
          <w:tcPr>
            <w:tcW w:w="319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6E4AA9" w:rsidRDefault="006E4AA9" w:rsidP="00073FF0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6E4AA9" w:rsidRDefault="006E4AA9" w:rsidP="00073FF0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6E4AA9" w:rsidRDefault="006E4AA9" w:rsidP="006E4A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AA9" w:rsidRDefault="006E4AA9" w:rsidP="006E4AA9">
      <w:pPr>
        <w:widowControl w:val="0"/>
        <w:spacing w:after="0" w:line="360" w:lineRule="auto"/>
        <w:ind w:firstLine="709"/>
        <w:jc w:val="right"/>
      </w:pPr>
    </w:p>
    <w:p w:rsidR="006E4AA9" w:rsidRDefault="006E4AA9" w:rsidP="006E4AA9"/>
    <w:p w:rsidR="006E4AA9" w:rsidRDefault="006E4AA9" w:rsidP="006E4AA9"/>
    <w:p w:rsidR="006E4AA9" w:rsidRDefault="006E4AA9" w:rsidP="006E4AA9"/>
    <w:p w:rsidR="006E4AA9" w:rsidRDefault="006E4AA9" w:rsidP="006E4AA9"/>
    <w:p w:rsidR="006E4AA9" w:rsidRDefault="006E4AA9" w:rsidP="006E4AA9"/>
    <w:p w:rsidR="006E4AA9" w:rsidRDefault="006E4AA9" w:rsidP="006E4AA9"/>
    <w:p w:rsidR="009D45BA" w:rsidRDefault="009D45BA"/>
    <w:sectPr w:rsidR="009D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9"/>
    <w:rsid w:val="00092436"/>
    <w:rsid w:val="006E4AA9"/>
    <w:rsid w:val="009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A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E4AA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4A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4AA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6E4AA9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AA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6E4AA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6E4AA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semiHidden/>
    <w:rsid w:val="006E4AA9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semiHidden/>
    <w:unhideWhenUsed/>
    <w:rsid w:val="006E4AA9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E4AA9"/>
    <w:pPr>
      <w:tabs>
        <w:tab w:val="left" w:pos="9639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6E4AA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6E4AA9"/>
    <w:pPr>
      <w:tabs>
        <w:tab w:val="right" w:leader="dot" w:pos="9781"/>
      </w:tabs>
      <w:spacing w:after="0" w:line="240" w:lineRule="auto"/>
    </w:pPr>
  </w:style>
  <w:style w:type="paragraph" w:styleId="51">
    <w:name w:val="toc 5"/>
    <w:basedOn w:val="a"/>
    <w:next w:val="a"/>
    <w:autoRedefine/>
    <w:uiPriority w:val="39"/>
    <w:semiHidden/>
    <w:unhideWhenUsed/>
    <w:rsid w:val="006E4AA9"/>
    <w:pPr>
      <w:ind w:left="880"/>
    </w:pPr>
  </w:style>
  <w:style w:type="paragraph" w:styleId="a4">
    <w:name w:val="List Paragraph"/>
    <w:basedOn w:val="a"/>
    <w:qFormat/>
    <w:rsid w:val="006E4AA9"/>
    <w:pPr>
      <w:spacing w:after="0" w:line="240" w:lineRule="auto"/>
      <w:ind w:left="720" w:firstLine="567"/>
      <w:jc w:val="both"/>
    </w:pPr>
  </w:style>
  <w:style w:type="paragraph" w:customStyle="1" w:styleId="a5">
    <w:name w:val="список с точками"/>
    <w:basedOn w:val="a"/>
    <w:rsid w:val="006E4AA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6E4A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E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A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E4AA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4A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4AA9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6E4AA9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AA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6E4AA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6E4AA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semiHidden/>
    <w:rsid w:val="006E4AA9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semiHidden/>
    <w:unhideWhenUsed/>
    <w:rsid w:val="006E4AA9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6E4AA9"/>
    <w:pPr>
      <w:tabs>
        <w:tab w:val="left" w:pos="9639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6E4AA9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6E4AA9"/>
    <w:pPr>
      <w:tabs>
        <w:tab w:val="right" w:leader="dot" w:pos="9781"/>
      </w:tabs>
      <w:spacing w:after="0" w:line="240" w:lineRule="auto"/>
    </w:pPr>
  </w:style>
  <w:style w:type="paragraph" w:styleId="51">
    <w:name w:val="toc 5"/>
    <w:basedOn w:val="a"/>
    <w:next w:val="a"/>
    <w:autoRedefine/>
    <w:uiPriority w:val="39"/>
    <w:semiHidden/>
    <w:unhideWhenUsed/>
    <w:rsid w:val="006E4AA9"/>
    <w:pPr>
      <w:ind w:left="880"/>
    </w:pPr>
  </w:style>
  <w:style w:type="paragraph" w:styleId="a4">
    <w:name w:val="List Paragraph"/>
    <w:basedOn w:val="a"/>
    <w:qFormat/>
    <w:rsid w:val="006E4AA9"/>
    <w:pPr>
      <w:spacing w:after="0" w:line="240" w:lineRule="auto"/>
      <w:ind w:left="720" w:firstLine="567"/>
      <w:jc w:val="both"/>
    </w:pPr>
  </w:style>
  <w:style w:type="paragraph" w:customStyle="1" w:styleId="a5">
    <w:name w:val="список с точками"/>
    <w:basedOn w:val="a"/>
    <w:rsid w:val="006E4AA9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6E4A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E4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bsu.ru/menu-for-teachers/menu-subjects-and-typological-plan-of-acquisi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6186</Words>
  <Characters>35262</Characters>
  <Application>Microsoft Office Word</Application>
  <DocSecurity>0</DocSecurity>
  <Lines>293</Lines>
  <Paragraphs>82</Paragraphs>
  <ScaleCrop>false</ScaleCrop>
  <Company>diakov.net</Company>
  <LinksUpToDate>false</LinksUpToDate>
  <CharactersWithSpaces>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2016-09-21T12:11:00Z</dcterms:created>
  <dcterms:modified xsi:type="dcterms:W3CDTF">2016-09-27T11:08:00Z</dcterms:modified>
</cp:coreProperties>
</file>